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《池州市</w:t>
      </w:r>
      <w:r>
        <w:rPr>
          <w:rFonts w:hint="eastAsia" w:ascii="方正小标宋简体" w:hAnsi="方正小标宋简体" w:eastAsia="方正小标宋简体" w:cs="方正小标宋简体"/>
          <w:sz w:val="44"/>
          <w:szCs w:val="44"/>
        </w:rPr>
        <w:t>药品安全突发事件应急预案</w:t>
      </w:r>
      <w:r>
        <w:rPr>
          <w:rFonts w:hint="eastAsia" w:ascii="方正小标宋简体" w:hAnsi="方正小标宋简体" w:eastAsia="方正小标宋简体" w:cs="方正小标宋简体"/>
          <w:sz w:val="44"/>
          <w:szCs w:val="44"/>
          <w:lang w:eastAsia="zh-CN"/>
        </w:rPr>
        <w:t>》起草情况的说明</w:t>
      </w:r>
    </w:p>
    <w:p>
      <w:pPr>
        <w:keepNext w:val="0"/>
        <w:keepLines w:val="0"/>
        <w:pageBreakBefore w:val="0"/>
        <w:kinsoku/>
        <w:wordWrap/>
        <w:overflowPunct/>
        <w:topLinePunct w:val="0"/>
        <w:autoSpaceDE/>
        <w:autoSpaceDN/>
        <w:bidi w:val="0"/>
        <w:adjustRightInd/>
        <w:snapToGrid/>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市市场监督管理局</w:t>
      </w:r>
    </w:p>
    <w:p>
      <w:pPr>
        <w:keepNext w:val="0"/>
        <w:keepLines w:val="0"/>
        <w:pageBreakBefore w:val="0"/>
        <w:kinsoku/>
        <w:wordWrap/>
        <w:overflowPunct/>
        <w:topLinePunct w:val="0"/>
        <w:autoSpaceDE/>
        <w:autoSpaceDN/>
        <w:bidi w:val="0"/>
        <w:adjustRightInd/>
        <w:snapToGrid/>
        <w:jc w:val="center"/>
        <w:textAlignment w:val="auto"/>
        <w:rPr>
          <w:rFonts w:hint="default" w:ascii="方正小标宋简体" w:hAnsi="方正小标宋简体" w:eastAsia="方正小标宋简体" w:cs="方正小标宋简体"/>
          <w:sz w:val="44"/>
          <w:szCs w:val="44"/>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2023年7月</w:t>
      </w:r>
      <w:r>
        <w:rPr>
          <w:rFonts w:hint="eastAsia" w:ascii="仿宋_GB2312" w:hAnsi="仿宋_GB2312" w:eastAsia="仿宋_GB2312" w:cs="仿宋_GB2312"/>
          <w:sz w:val="32"/>
          <w:szCs w:val="32"/>
          <w:lang w:eastAsia="zh-CN"/>
        </w:rPr>
        <w:t>）</w:t>
      </w:r>
    </w:p>
    <w:p>
      <w:pPr>
        <w:keepNext w:val="0"/>
        <w:keepLines w:val="0"/>
        <w:pageBreakBefore w:val="0"/>
        <w:widowControl w:val="0"/>
        <w:numPr>
          <w:ilvl w:val="0"/>
          <w:numId w:val="1"/>
        </w:numPr>
        <w:kinsoku/>
        <w:wordWrap/>
        <w:overflowPunct/>
        <w:autoSpaceDE/>
        <w:autoSpaceDN/>
        <w:bidi w:val="0"/>
        <w:adjustRightInd/>
        <w:snapToGrid/>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背景依据和起草过程</w:t>
      </w:r>
    </w:p>
    <w:p>
      <w:pPr>
        <w:keepNext w:val="0"/>
        <w:keepLines w:val="0"/>
        <w:pageBreakBefore w:val="0"/>
        <w:widowControl w:val="0"/>
        <w:kinsoku/>
        <w:wordWrap/>
        <w:overflowPunct/>
        <w:autoSpaceDE/>
        <w:autoSpaceDN/>
        <w:bidi w:val="0"/>
        <w:adjustRightInd/>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省政府办公厅正式印发《安徽</w:t>
      </w:r>
      <w:r>
        <w:rPr>
          <w:rFonts w:hint="eastAsia" w:ascii="仿宋_GB2312" w:hAnsi="仿宋_GB2312" w:eastAsia="仿宋_GB2312" w:cs="仿宋_GB2312"/>
          <w:sz w:val="32"/>
          <w:szCs w:val="32"/>
        </w:rPr>
        <w:t>省</w:t>
      </w:r>
      <w:r>
        <w:rPr>
          <w:rFonts w:hint="eastAsia" w:ascii="仿宋_GB2312" w:hAnsi="仿宋_GB2312" w:eastAsia="仿宋_GB2312" w:cs="仿宋_GB2312"/>
          <w:sz w:val="32"/>
          <w:szCs w:val="32"/>
          <w:lang w:eastAsia="zh-CN"/>
        </w:rPr>
        <w:t>人民</w:t>
      </w:r>
      <w:r>
        <w:rPr>
          <w:rFonts w:hint="eastAsia" w:ascii="仿宋_GB2312" w:hAnsi="仿宋_GB2312" w:eastAsia="仿宋_GB2312" w:cs="仿宋_GB2312"/>
          <w:sz w:val="32"/>
          <w:szCs w:val="32"/>
        </w:rPr>
        <w:t>政府办公厅</w:t>
      </w:r>
      <w:r>
        <w:rPr>
          <w:rFonts w:hint="eastAsia" w:ascii="仿宋_GB2312" w:hAnsi="仿宋_GB2312" w:eastAsia="仿宋_GB2312" w:cs="仿宋_GB2312"/>
          <w:sz w:val="32"/>
          <w:szCs w:val="32"/>
          <w:lang w:eastAsia="zh-CN"/>
        </w:rPr>
        <w:t>关于</w:t>
      </w:r>
      <w:r>
        <w:rPr>
          <w:rFonts w:hint="eastAsia" w:ascii="仿宋_GB2312" w:hAnsi="仿宋_GB2312" w:eastAsia="仿宋_GB2312" w:cs="仿宋_GB2312"/>
          <w:sz w:val="32"/>
          <w:szCs w:val="32"/>
        </w:rPr>
        <w:t>印发</w:t>
      </w:r>
      <w:r>
        <w:rPr>
          <w:rFonts w:hint="eastAsia" w:ascii="仿宋_GB2312" w:hAnsi="仿宋_GB2312" w:eastAsia="仿宋_GB2312" w:cs="仿宋_GB2312"/>
          <w:sz w:val="32"/>
          <w:szCs w:val="32"/>
          <w:lang w:eastAsia="zh-CN"/>
        </w:rPr>
        <w:t>安徽省药品安全突发事件应急预案</w:t>
      </w:r>
      <w:r>
        <w:rPr>
          <w:rFonts w:hint="eastAsia" w:ascii="仿宋_GB2312" w:hAnsi="仿宋_GB2312" w:eastAsia="仿宋_GB2312" w:cs="仿宋_GB2312"/>
          <w:sz w:val="32"/>
          <w:szCs w:val="32"/>
        </w:rPr>
        <w:t>的通知》（</w:t>
      </w:r>
      <w:r>
        <w:rPr>
          <w:rFonts w:hint="eastAsia" w:ascii="仿宋_GB2312" w:hAnsi="仿宋_GB2312" w:eastAsia="仿宋_GB2312" w:cs="仿宋_GB2312"/>
          <w:sz w:val="32"/>
          <w:szCs w:val="32"/>
          <w:lang w:eastAsia="zh-CN"/>
        </w:rPr>
        <w:t>皖政办秘</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19</w:t>
      </w:r>
      <w:r>
        <w:rPr>
          <w:rFonts w:hint="eastAsia" w:ascii="仿宋_GB2312" w:hAnsi="仿宋_GB2312" w:eastAsia="仿宋_GB2312" w:cs="仿宋_GB2312"/>
          <w:sz w:val="32"/>
          <w:szCs w:val="32"/>
        </w:rPr>
        <w:t>号，以下简称</w:t>
      </w:r>
      <w:r>
        <w:rPr>
          <w:rFonts w:hint="eastAsia" w:ascii="仿宋_GB2312" w:hAnsi="仿宋_GB2312" w:eastAsia="仿宋_GB2312" w:cs="仿宋_GB2312"/>
          <w:sz w:val="32"/>
          <w:szCs w:val="32"/>
          <w:lang w:eastAsia="zh-CN"/>
        </w:rPr>
        <w:t>应急预案</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《应急预案》印发后，</w:t>
      </w:r>
      <w:r>
        <w:rPr>
          <w:rFonts w:hint="eastAsia" w:ascii="仿宋_GB2312" w:hAnsi="仿宋_GB2312" w:eastAsia="仿宋_GB2312" w:cs="仿宋_GB2312"/>
          <w:sz w:val="32"/>
          <w:szCs w:val="32"/>
        </w:rPr>
        <w:t>省药安委要求全省各地要</w:t>
      </w:r>
      <w:r>
        <w:rPr>
          <w:rFonts w:hint="eastAsia" w:ascii="仿宋_GB2312" w:hAnsi="仿宋_GB2312" w:eastAsia="仿宋_GB2312" w:cs="仿宋_GB2312"/>
          <w:sz w:val="32"/>
          <w:szCs w:val="32"/>
          <w:lang w:eastAsia="zh-CN"/>
        </w:rPr>
        <w:t>结合本地实际修订本地预案</w:t>
      </w:r>
      <w:r>
        <w:rPr>
          <w:rFonts w:hint="eastAsia" w:ascii="仿宋_GB2312" w:hAnsi="仿宋_GB2312" w:eastAsia="仿宋_GB2312" w:cs="仿宋_GB2312"/>
          <w:sz w:val="32"/>
          <w:szCs w:val="32"/>
        </w:rPr>
        <w:t>，并将</w:t>
      </w:r>
      <w:r>
        <w:rPr>
          <w:rFonts w:hint="eastAsia" w:ascii="仿宋_GB2312" w:hAnsi="仿宋_GB2312" w:eastAsia="仿宋_GB2312" w:cs="仿宋_GB2312"/>
          <w:sz w:val="32"/>
          <w:szCs w:val="32"/>
          <w:lang w:eastAsia="zh-CN"/>
        </w:rPr>
        <w:t>修订情况</w:t>
      </w:r>
      <w:r>
        <w:rPr>
          <w:rFonts w:hint="eastAsia" w:ascii="仿宋_GB2312" w:hAnsi="仿宋_GB2312" w:eastAsia="仿宋_GB2312" w:cs="仿宋_GB2312"/>
          <w:sz w:val="32"/>
          <w:szCs w:val="32"/>
        </w:rPr>
        <w:t>纳入药品安全考核评议内容。市委、市政府高度重视，202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日，市政府同志批示要求市市场监管局</w:t>
      </w:r>
      <w:r>
        <w:rPr>
          <w:rFonts w:hint="eastAsia" w:ascii="仿宋_GB2312" w:hAnsi="仿宋_GB2312" w:eastAsia="仿宋_GB2312" w:cs="仿宋_GB2312"/>
          <w:sz w:val="32"/>
          <w:szCs w:val="32"/>
          <w:lang w:eastAsia="zh-CN"/>
        </w:rPr>
        <w:t>比照省预案对我市应急预案进行修订并抓好落实</w:t>
      </w:r>
      <w:r>
        <w:rPr>
          <w:rFonts w:hint="eastAsia" w:ascii="仿宋_GB2312" w:hAnsi="仿宋_GB2312" w:eastAsia="仿宋_GB2312" w:cs="仿宋_GB2312"/>
          <w:sz w:val="32"/>
          <w:szCs w:val="32"/>
        </w:rPr>
        <w:t>。起草分三个阶段：一是认真学习研究了</w:t>
      </w:r>
      <w:r>
        <w:rPr>
          <w:rFonts w:hint="eastAsia" w:ascii="仿宋_GB2312" w:hAnsi="仿宋_GB2312" w:eastAsia="仿宋_GB2312" w:cs="仿宋_GB2312"/>
          <w:sz w:val="32"/>
          <w:szCs w:val="32"/>
          <w:lang w:eastAsia="zh-CN"/>
        </w:rPr>
        <w:t>《安徽省药品安全突发事件应急预案》及</w:t>
      </w:r>
      <w:r>
        <w:rPr>
          <w:rFonts w:hint="eastAsia" w:ascii="仿宋_GB2312" w:hAnsi="仿宋_GB2312" w:eastAsia="仿宋_GB2312" w:cs="仿宋_GB2312"/>
          <w:sz w:val="32"/>
          <w:szCs w:val="32"/>
        </w:rPr>
        <w:t>相关政策文件精神，对照《</w:t>
      </w:r>
      <w:r>
        <w:rPr>
          <w:rFonts w:hint="eastAsia" w:ascii="仿宋_GB2312" w:hAnsi="仿宋_GB2312" w:eastAsia="仿宋_GB2312" w:cs="仿宋_GB2312"/>
          <w:sz w:val="32"/>
          <w:szCs w:val="32"/>
          <w:lang w:eastAsia="zh-CN"/>
        </w:rPr>
        <w:t>应急预案</w:t>
      </w:r>
      <w:r>
        <w:rPr>
          <w:rFonts w:hint="eastAsia" w:ascii="仿宋_GB2312" w:hAnsi="仿宋_GB2312" w:eastAsia="仿宋_GB2312" w:cs="仿宋_GB2312"/>
          <w:sz w:val="32"/>
          <w:szCs w:val="32"/>
        </w:rPr>
        <w:t>》分析研判了我市药品安全</w:t>
      </w:r>
      <w:r>
        <w:rPr>
          <w:rFonts w:hint="eastAsia" w:ascii="仿宋_GB2312" w:hAnsi="仿宋_GB2312" w:eastAsia="仿宋_GB2312" w:cs="仿宋_GB2312"/>
          <w:sz w:val="32"/>
          <w:szCs w:val="32"/>
          <w:lang w:eastAsia="zh-CN"/>
        </w:rPr>
        <w:t>应急体系建设</w:t>
      </w:r>
      <w:r>
        <w:rPr>
          <w:rFonts w:hint="eastAsia" w:ascii="仿宋_GB2312" w:hAnsi="仿宋_GB2312" w:eastAsia="仿宋_GB2312" w:cs="仿宋_GB2312"/>
          <w:sz w:val="32"/>
          <w:szCs w:val="32"/>
        </w:rPr>
        <w:t>的现状、存在的短板和难点。二是</w:t>
      </w:r>
      <w:r>
        <w:rPr>
          <w:rFonts w:hint="eastAsia" w:ascii="仿宋_GB2312" w:hAnsi="仿宋_GB2312" w:eastAsia="仿宋_GB2312" w:cs="仿宋_GB2312"/>
          <w:sz w:val="32"/>
          <w:szCs w:val="32"/>
          <w:lang w:eastAsia="zh-CN"/>
        </w:rPr>
        <w:t>根据</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应急预案</w:t>
      </w:r>
      <w:r>
        <w:rPr>
          <w:rFonts w:hint="eastAsia" w:ascii="仿宋_GB2312" w:hAnsi="仿宋_GB2312" w:eastAsia="仿宋_GB2312" w:cs="仿宋_GB2312"/>
          <w:sz w:val="32"/>
          <w:szCs w:val="32"/>
        </w:rPr>
        <w:t>》精神，结合池州实际起草了《</w:t>
      </w:r>
      <w:r>
        <w:rPr>
          <w:rFonts w:hint="eastAsia" w:ascii="仿宋_GB2312" w:hAnsi="仿宋_GB2312" w:eastAsia="仿宋_GB2312" w:cs="仿宋_GB2312"/>
          <w:sz w:val="32"/>
          <w:szCs w:val="32"/>
          <w:lang w:eastAsia="zh-CN"/>
        </w:rPr>
        <w:t>池州市药品安全突发事件应急预案</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征求意见稿</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shd w:val="clear" w:color="auto" w:fill="FFFFFF"/>
        </w:rPr>
        <w:t>》</w:t>
      </w:r>
      <w:r>
        <w:rPr>
          <w:rFonts w:hint="eastAsia" w:ascii="仿宋_GB2312" w:hAnsi="仿宋_GB2312" w:eastAsia="仿宋_GB2312" w:cs="仿宋_GB2312"/>
          <w:sz w:val="32"/>
          <w:szCs w:val="32"/>
          <w:shd w:val="clear" w:color="auto" w:fill="FFFFFF"/>
          <w:lang w:eastAsia="zh-CN"/>
        </w:rPr>
        <w:t>（以下简称应急预案征求意见稿）</w:t>
      </w:r>
      <w:r>
        <w:rPr>
          <w:rFonts w:hint="eastAsia" w:ascii="仿宋_GB2312" w:hAnsi="仿宋_GB2312" w:eastAsia="仿宋_GB2312" w:cs="仿宋_GB2312"/>
          <w:sz w:val="32"/>
          <w:szCs w:val="32"/>
        </w:rPr>
        <w:t>。三是</w:t>
      </w:r>
      <w:r>
        <w:rPr>
          <w:rFonts w:hint="eastAsia" w:ascii="仿宋_GB2312" w:hAnsi="仿宋_GB2312" w:eastAsia="仿宋_GB2312" w:cs="仿宋_GB2312"/>
          <w:sz w:val="32"/>
          <w:szCs w:val="32"/>
          <w:lang w:eastAsia="zh-CN"/>
        </w:rPr>
        <w:t>广泛</w:t>
      </w:r>
      <w:r>
        <w:rPr>
          <w:rFonts w:hint="eastAsia" w:ascii="仿宋_GB2312" w:hAnsi="仿宋_GB2312" w:eastAsia="仿宋_GB2312" w:cs="仿宋_GB2312"/>
          <w:sz w:val="32"/>
          <w:szCs w:val="32"/>
        </w:rPr>
        <w:t>征求意见。</w:t>
      </w:r>
      <w:r>
        <w:rPr>
          <w:rFonts w:hint="eastAsia" w:ascii="仿宋_GB2312" w:hAnsi="仿宋_GB2312" w:eastAsia="仿宋_GB2312" w:cs="仿宋_GB2312"/>
          <w:sz w:val="32"/>
          <w:szCs w:val="32"/>
          <w:lang w:val="en-US" w:eastAsia="zh-CN"/>
        </w:rPr>
        <w:t>5月29日—6月20日</w:t>
      </w:r>
      <w:r>
        <w:rPr>
          <w:rFonts w:hint="eastAsia" w:ascii="仿宋_GB2312" w:hAnsi="仿宋_GB2312" w:eastAsia="仿宋_GB2312" w:cs="仿宋_GB2312"/>
          <w:sz w:val="32"/>
          <w:szCs w:val="32"/>
        </w:rPr>
        <w:t>书面征求各县区药安委和市药安委成员单位及相关市直部门的修改意见，</w:t>
      </w:r>
      <w:r>
        <w:rPr>
          <w:rFonts w:hint="eastAsia" w:ascii="仿宋_GB2312" w:hAnsi="仿宋_GB2312" w:eastAsia="仿宋_GB2312" w:cs="仿宋_GB2312"/>
          <w:sz w:val="32"/>
          <w:szCs w:val="32"/>
          <w:lang w:eastAsia="zh-CN"/>
        </w:rPr>
        <w:t>收到修改意见</w:t>
      </w:r>
      <w:r>
        <w:rPr>
          <w:rFonts w:hint="eastAsia" w:ascii="仿宋_GB2312" w:hAnsi="仿宋_GB2312" w:eastAsia="仿宋_GB2312" w:cs="仿宋_GB2312"/>
          <w:sz w:val="32"/>
          <w:szCs w:val="32"/>
          <w:lang w:val="en-US" w:eastAsia="zh-CN"/>
        </w:rPr>
        <w:t>1条，已经修改完善</w:t>
      </w:r>
      <w:r>
        <w:rPr>
          <w:rFonts w:hint="eastAsia" w:ascii="仿宋_GB2312" w:hAnsi="仿宋_GB2312" w:eastAsia="仿宋_GB2312" w:cs="仿宋_GB2312"/>
          <w:sz w:val="32"/>
          <w:szCs w:val="32"/>
        </w:rPr>
        <w:t>。</w:t>
      </w:r>
    </w:p>
    <w:p>
      <w:pPr>
        <w:keepNext w:val="0"/>
        <w:keepLines w:val="0"/>
        <w:pageBreakBefore w:val="0"/>
        <w:widowControl w:val="0"/>
        <w:numPr>
          <w:ilvl w:val="0"/>
          <w:numId w:val="2"/>
        </w:numPr>
        <w:kinsoku/>
        <w:wordWrap/>
        <w:overflowPunct/>
        <w:autoSpaceDE/>
        <w:autoSpaceDN/>
        <w:bidi w:val="0"/>
        <w:adjustRightInd/>
        <w:snapToGrid/>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主要内容</w:t>
      </w:r>
    </w:p>
    <w:p>
      <w:pPr>
        <w:keepNext w:val="0"/>
        <w:keepLines w:val="0"/>
        <w:pageBreakBefore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eastAsia="仿宋_GB2312"/>
          <w:sz w:val="32"/>
          <w:szCs w:val="32"/>
        </w:rPr>
        <w:t>《</w:t>
      </w:r>
      <w:r>
        <w:rPr>
          <w:rFonts w:hint="eastAsia" w:ascii="仿宋_GB2312" w:eastAsia="仿宋_GB2312"/>
          <w:sz w:val="32"/>
          <w:szCs w:val="32"/>
          <w:lang w:eastAsia="zh-CN"/>
        </w:rPr>
        <w:t>应</w:t>
      </w:r>
      <w:r>
        <w:rPr>
          <w:rFonts w:hint="eastAsia" w:ascii="仿宋_GB2312" w:hAnsi="仿宋_GB2312" w:eastAsia="仿宋_GB2312" w:cs="仿宋_GB2312"/>
          <w:sz w:val="32"/>
          <w:szCs w:val="32"/>
          <w:shd w:val="clear" w:color="auto" w:fill="FFFFFF"/>
          <w:lang w:eastAsia="zh-CN"/>
        </w:rPr>
        <w:t>急预案征求意见稿</w:t>
      </w:r>
      <w:r>
        <w:rPr>
          <w:rFonts w:hint="eastAsia" w:ascii="仿宋_GB2312" w:eastAsia="仿宋_GB2312"/>
          <w:sz w:val="32"/>
          <w:szCs w:val="32"/>
        </w:rPr>
        <w:t>》全文分</w:t>
      </w:r>
      <w:r>
        <w:rPr>
          <w:rFonts w:hint="eastAsia" w:ascii="仿宋_GB2312" w:hAnsi="仿宋_GB2312" w:eastAsia="仿宋_GB2312" w:cs="仿宋_GB2312"/>
          <w:color w:val="000000"/>
          <w:sz w:val="32"/>
          <w:szCs w:val="32"/>
          <w:lang w:eastAsia="zh-CN"/>
        </w:rPr>
        <w:t>九</w:t>
      </w:r>
      <w:r>
        <w:rPr>
          <w:rFonts w:hint="eastAsia" w:ascii="仿宋_GB2312" w:hAnsi="仿宋_GB2312" w:eastAsia="仿宋_GB2312" w:cs="仿宋_GB2312"/>
          <w:color w:val="000000"/>
          <w:sz w:val="32"/>
          <w:szCs w:val="32"/>
        </w:rPr>
        <w:t>个部分</w:t>
      </w:r>
      <w:r>
        <w:rPr>
          <w:rFonts w:hint="eastAsia" w:ascii="仿宋_GB2312" w:eastAsia="仿宋_GB2312"/>
          <w:sz w:val="32"/>
          <w:szCs w:val="32"/>
        </w:rPr>
        <w:t>：</w:t>
      </w:r>
      <w:r>
        <w:rPr>
          <w:rFonts w:hint="eastAsia" w:ascii="楷体_GB2312" w:hAnsi="楷体_GB2312" w:eastAsia="楷体_GB2312" w:cs="楷体_GB2312"/>
          <w:sz w:val="32"/>
          <w:szCs w:val="32"/>
        </w:rPr>
        <w:t>第一部分为</w:t>
      </w:r>
      <w:r>
        <w:rPr>
          <w:rFonts w:hint="eastAsia" w:ascii="楷体_GB2312" w:hAnsi="楷体_GB2312" w:eastAsia="楷体_GB2312" w:cs="楷体_GB2312"/>
          <w:sz w:val="32"/>
          <w:szCs w:val="32"/>
          <w:lang w:eastAsia="zh-CN"/>
        </w:rPr>
        <w:t>总则</w:t>
      </w:r>
      <w:r>
        <w:rPr>
          <w:rFonts w:hint="eastAsia" w:ascii="楷体_GB2312" w:hAnsi="楷体_GB2312" w:eastAsia="楷体_GB2312" w:cs="楷体_GB2312"/>
          <w:sz w:val="32"/>
          <w:szCs w:val="32"/>
        </w:rPr>
        <w:t>，</w:t>
      </w:r>
      <w:r>
        <w:rPr>
          <w:rFonts w:hint="eastAsia" w:ascii="仿宋_GB2312" w:hAnsi="仿宋_GB2312" w:eastAsia="仿宋_GB2312" w:cs="仿宋_GB2312"/>
          <w:sz w:val="32"/>
          <w:szCs w:val="32"/>
          <w:lang w:eastAsia="zh-CN"/>
        </w:rPr>
        <w:t>包括：</w:t>
      </w:r>
      <w:r>
        <w:rPr>
          <w:rFonts w:hint="eastAsia" w:ascii="仿宋_GB2312" w:hAnsi="仿宋_GB2312" w:eastAsia="仿宋_GB2312" w:cs="仿宋_GB2312"/>
          <w:sz w:val="32"/>
          <w:szCs w:val="32"/>
        </w:rPr>
        <w:t>编制目的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 编制依据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 适用范围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突发事件分类分级</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工作原则。</w:t>
      </w:r>
      <w:r>
        <w:rPr>
          <w:rFonts w:hint="eastAsia" w:ascii="楷体_GB2312" w:hAnsi="楷体_GB2312" w:eastAsia="楷体_GB2312" w:cs="楷体_GB2312"/>
          <w:color w:val="000000"/>
          <w:sz w:val="32"/>
          <w:szCs w:val="32"/>
        </w:rPr>
        <w:t>第二部分为</w:t>
      </w:r>
      <w:r>
        <w:rPr>
          <w:rFonts w:hint="eastAsia" w:ascii="楷体_GB2312" w:hAnsi="楷体_GB2312" w:eastAsia="楷体_GB2312" w:cs="楷体_GB2312"/>
          <w:color w:val="000000"/>
          <w:sz w:val="32"/>
          <w:szCs w:val="32"/>
          <w:lang w:eastAsia="zh-CN"/>
        </w:rPr>
        <w:t>组织指挥体系</w:t>
      </w:r>
      <w:r>
        <w:rPr>
          <w:rFonts w:hint="eastAsia" w:ascii="楷体_GB2312" w:hAnsi="楷体_GB2312" w:eastAsia="楷体_GB2312" w:cs="楷体_GB2312"/>
          <w:color w:val="000000"/>
          <w:sz w:val="32"/>
          <w:szCs w:val="32"/>
        </w:rPr>
        <w:t>，</w:t>
      </w:r>
      <w:r>
        <w:rPr>
          <w:rFonts w:hint="eastAsia" w:ascii="仿宋_GB2312" w:hAnsi="仿宋_GB2312" w:eastAsia="仿宋_GB2312" w:cs="仿宋_GB2312"/>
          <w:color w:val="000000"/>
          <w:sz w:val="32"/>
          <w:szCs w:val="32"/>
        </w:rPr>
        <w:t>包括</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应急指挥部</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应急指挥部办公室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工作组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专家组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专业技术机构</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区组织指挥机构。</w:t>
      </w:r>
      <w:r>
        <w:rPr>
          <w:rFonts w:hint="eastAsia" w:ascii="楷体_GB2312" w:hAnsi="楷体_GB2312" w:eastAsia="楷体_GB2312" w:cs="楷体_GB2312"/>
          <w:sz w:val="32"/>
          <w:szCs w:val="32"/>
        </w:rPr>
        <w:t>第三部分为监测、预警</w:t>
      </w:r>
      <w:r>
        <w:rPr>
          <w:rFonts w:hint="eastAsia" w:ascii="楷体_GB2312" w:hAnsi="楷体_GB2312" w:eastAsia="楷体_GB2312" w:cs="楷体_GB2312"/>
          <w:sz w:val="32"/>
          <w:szCs w:val="32"/>
          <w:lang w:eastAsia="zh-CN"/>
        </w:rPr>
        <w:t>。第四部分为</w:t>
      </w:r>
      <w:r>
        <w:rPr>
          <w:rFonts w:hint="eastAsia" w:ascii="楷体_GB2312" w:hAnsi="楷体_GB2312" w:eastAsia="楷体_GB2312" w:cs="楷体_GB2312"/>
          <w:sz w:val="32"/>
          <w:szCs w:val="32"/>
        </w:rPr>
        <w:t>处置措施</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lang w:eastAsia="zh-CN"/>
        </w:rPr>
        <w:t>包括：</w:t>
      </w:r>
      <w:r>
        <w:rPr>
          <w:rFonts w:hint="eastAsia" w:ascii="仿宋_GB2312" w:hAnsi="仿宋_GB2312" w:eastAsia="仿宋_GB2312" w:cs="仿宋_GB2312"/>
          <w:sz w:val="32"/>
          <w:szCs w:val="32"/>
        </w:rPr>
        <w:t>信息报告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先期处置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启动应急响应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处置措施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响应级别调整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响应终止</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信息发布</w:t>
      </w:r>
      <w:r>
        <w:rPr>
          <w:rFonts w:hint="eastAsia" w:ascii="仿宋_GB2312" w:hAnsi="仿宋_GB2312" w:eastAsia="仿宋_GB2312" w:cs="仿宋_GB2312"/>
          <w:sz w:val="32"/>
          <w:szCs w:val="32"/>
          <w:lang w:eastAsia="zh-CN"/>
        </w:rPr>
        <w:t>。</w:t>
      </w:r>
      <w:r>
        <w:rPr>
          <w:rFonts w:hint="eastAsia" w:ascii="楷体_GB2312" w:hAnsi="楷体_GB2312" w:eastAsia="楷体_GB2312" w:cs="楷体_GB2312"/>
          <w:sz w:val="32"/>
          <w:szCs w:val="32"/>
          <w:lang w:eastAsia="zh-CN"/>
        </w:rPr>
        <w:t>第五部分为</w:t>
      </w:r>
      <w:r>
        <w:rPr>
          <w:rFonts w:hint="eastAsia" w:ascii="楷体_GB2312" w:hAnsi="楷体_GB2312" w:eastAsia="楷体_GB2312" w:cs="楷体_GB2312"/>
          <w:sz w:val="32"/>
          <w:szCs w:val="32"/>
        </w:rPr>
        <w:t>恢复重建</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lang w:eastAsia="zh-CN"/>
        </w:rPr>
        <w:t>包括：</w:t>
      </w:r>
      <w:r>
        <w:rPr>
          <w:rFonts w:hint="eastAsia" w:ascii="仿宋_GB2312" w:hAnsi="仿宋_GB2312" w:eastAsia="仿宋_GB2312" w:cs="仿宋_GB2312"/>
          <w:sz w:val="32"/>
          <w:szCs w:val="32"/>
        </w:rPr>
        <w:t>善后处置</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调查评估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恢复重建</w:t>
      </w:r>
      <w:r>
        <w:rPr>
          <w:rFonts w:hint="eastAsia" w:ascii="仿宋_GB2312" w:hAnsi="仿宋_GB2312" w:eastAsia="仿宋_GB2312" w:cs="仿宋_GB2312"/>
          <w:sz w:val="32"/>
          <w:szCs w:val="32"/>
          <w:lang w:eastAsia="zh-CN"/>
        </w:rPr>
        <w:t>。</w:t>
      </w:r>
      <w:r>
        <w:rPr>
          <w:rFonts w:hint="eastAsia" w:ascii="楷体_GB2312" w:hAnsi="楷体_GB2312" w:eastAsia="楷体_GB2312" w:cs="楷体_GB2312"/>
          <w:sz w:val="32"/>
          <w:szCs w:val="32"/>
          <w:lang w:eastAsia="zh-CN"/>
        </w:rPr>
        <w:t>第六部分为</w:t>
      </w:r>
      <w:r>
        <w:rPr>
          <w:rFonts w:hint="eastAsia" w:ascii="楷体_GB2312" w:hAnsi="楷体_GB2312" w:eastAsia="楷体_GB2312" w:cs="楷体_GB2312"/>
          <w:sz w:val="32"/>
          <w:szCs w:val="32"/>
        </w:rPr>
        <w:t>保障措施</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lang w:eastAsia="zh-CN"/>
        </w:rPr>
        <w:t>包括：</w:t>
      </w:r>
      <w:r>
        <w:rPr>
          <w:rFonts w:hint="eastAsia" w:ascii="仿宋_GB2312" w:hAnsi="仿宋_GB2312" w:eastAsia="仿宋_GB2312" w:cs="仿宋_GB2312"/>
          <w:sz w:val="32"/>
          <w:szCs w:val="32"/>
        </w:rPr>
        <w:t>队伍保障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资金保障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物资保障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医疗保障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交通保障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信息保障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社会动员保障</w:t>
      </w:r>
      <w:r>
        <w:rPr>
          <w:rFonts w:hint="eastAsia" w:ascii="仿宋_GB2312" w:hAnsi="仿宋_GB2312" w:eastAsia="仿宋_GB2312" w:cs="仿宋_GB2312"/>
          <w:sz w:val="32"/>
          <w:szCs w:val="32"/>
          <w:lang w:eastAsia="zh-CN"/>
        </w:rPr>
        <w:t>。</w:t>
      </w:r>
      <w:r>
        <w:rPr>
          <w:rFonts w:hint="eastAsia" w:ascii="楷体_GB2312" w:hAnsi="楷体_GB2312" w:eastAsia="楷体_GB2312" w:cs="楷体_GB2312"/>
          <w:sz w:val="32"/>
          <w:szCs w:val="32"/>
          <w:lang w:eastAsia="zh-CN"/>
        </w:rPr>
        <w:t>第七部分为</w:t>
      </w:r>
      <w:r>
        <w:rPr>
          <w:rFonts w:hint="eastAsia" w:ascii="楷体_GB2312" w:hAnsi="楷体_GB2312" w:eastAsia="楷体_GB2312" w:cs="楷体_GB2312"/>
          <w:sz w:val="32"/>
          <w:szCs w:val="32"/>
        </w:rPr>
        <w:t>日常管理与责任奖惩</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lang w:eastAsia="zh-CN"/>
        </w:rPr>
        <w:t>包括：</w:t>
      </w:r>
      <w:r>
        <w:rPr>
          <w:rFonts w:hint="eastAsia" w:ascii="仿宋_GB2312" w:hAnsi="仿宋_GB2312" w:eastAsia="仿宋_GB2312" w:cs="仿宋_GB2312"/>
          <w:sz w:val="32"/>
          <w:szCs w:val="32"/>
        </w:rPr>
        <w:t>宣传培训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预案编制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应急演练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责任与奖惩</w:t>
      </w:r>
      <w:r>
        <w:rPr>
          <w:rFonts w:hint="eastAsia" w:ascii="仿宋_GB2312" w:hAnsi="仿宋_GB2312" w:eastAsia="仿宋_GB2312" w:cs="仿宋_GB2312"/>
          <w:sz w:val="32"/>
          <w:szCs w:val="32"/>
          <w:lang w:eastAsia="zh-CN"/>
        </w:rPr>
        <w:t>。</w:t>
      </w:r>
      <w:r>
        <w:rPr>
          <w:rFonts w:hint="eastAsia" w:ascii="楷体_GB2312" w:hAnsi="楷体_GB2312" w:eastAsia="楷体_GB2312" w:cs="楷体_GB2312"/>
          <w:sz w:val="32"/>
          <w:szCs w:val="32"/>
          <w:lang w:eastAsia="zh-CN"/>
        </w:rPr>
        <w:t>第八部分为</w:t>
      </w:r>
      <w:r>
        <w:rPr>
          <w:rFonts w:hint="eastAsia" w:ascii="楷体_GB2312" w:hAnsi="楷体_GB2312" w:eastAsia="楷体_GB2312" w:cs="楷体_GB2312"/>
          <w:sz w:val="32"/>
          <w:szCs w:val="32"/>
        </w:rPr>
        <w:t>附则</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lang w:eastAsia="zh-CN"/>
        </w:rPr>
        <w:t>包括：</w:t>
      </w:r>
      <w:r>
        <w:rPr>
          <w:rFonts w:hint="eastAsia" w:ascii="仿宋_GB2312" w:hAnsi="仿宋_GB2312" w:eastAsia="仿宋_GB2312" w:cs="仿宋_GB2312"/>
          <w:sz w:val="32"/>
          <w:szCs w:val="32"/>
        </w:rPr>
        <w:t>预案解释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生效时间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名词术语解释</w:t>
      </w:r>
      <w:r>
        <w:rPr>
          <w:rFonts w:hint="eastAsia" w:ascii="仿宋_GB2312" w:hAnsi="仿宋_GB2312" w:eastAsia="仿宋_GB2312" w:cs="仿宋_GB2312"/>
          <w:sz w:val="32"/>
          <w:szCs w:val="32"/>
          <w:lang w:eastAsia="zh-CN"/>
        </w:rPr>
        <w:t>。</w:t>
      </w:r>
      <w:r>
        <w:rPr>
          <w:rFonts w:hint="eastAsia" w:ascii="楷体_GB2312" w:hAnsi="楷体_GB2312" w:eastAsia="楷体_GB2312" w:cs="楷体_GB2312"/>
          <w:sz w:val="32"/>
          <w:szCs w:val="32"/>
          <w:lang w:eastAsia="zh-CN"/>
        </w:rPr>
        <w:t>第九部分为</w:t>
      </w:r>
      <w:r>
        <w:rPr>
          <w:rFonts w:hint="eastAsia" w:ascii="楷体_GB2312" w:hAnsi="楷体_GB2312" w:eastAsia="楷体_GB2312" w:cs="楷体_GB2312"/>
          <w:sz w:val="32"/>
          <w:szCs w:val="32"/>
        </w:rPr>
        <w:t>附件</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lang w:eastAsia="zh-CN"/>
        </w:rPr>
        <w:t>包括：</w:t>
      </w:r>
      <w:r>
        <w:rPr>
          <w:rFonts w:hint="eastAsia" w:ascii="仿宋_GB2312" w:hAnsi="仿宋_GB2312" w:eastAsia="仿宋_GB2312" w:cs="仿宋_GB2312"/>
          <w:sz w:val="32"/>
          <w:szCs w:val="32"/>
        </w:rPr>
        <w:t>药品安全突发事件分级标准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医疗器械安全突发事件分级标准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化妆品安全突发事件分级标准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疫苗质量安全事件分级标准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相关成员单位及职责</w:t>
      </w:r>
      <w:r>
        <w:rPr>
          <w:rFonts w:hint="eastAsia" w:ascii="仿宋_GB2312" w:hAnsi="仿宋_GB2312" w:eastAsia="仿宋_GB2312" w:cs="仿宋_GB2312"/>
          <w:sz w:val="32"/>
          <w:szCs w:val="32"/>
          <w:lang w:eastAsia="zh-CN"/>
        </w:rPr>
        <w:t>。基本保留了《应急预案》的结构与篇幅，</w:t>
      </w:r>
      <w:r>
        <w:rPr>
          <w:rFonts w:hint="eastAsia" w:ascii="楷体_GB2312" w:hAnsi="楷体_GB2312" w:eastAsia="楷体_GB2312" w:cs="楷体_GB2312"/>
          <w:sz w:val="32"/>
          <w:szCs w:val="32"/>
          <w:lang w:eastAsia="zh-CN"/>
        </w:rPr>
        <w:t>不同点在</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应</w:t>
      </w:r>
      <w:r>
        <w:rPr>
          <w:rFonts w:hint="eastAsia" w:ascii="楷体_GB2312" w:hAnsi="楷体_GB2312" w:eastAsia="楷体_GB2312" w:cs="楷体_GB2312"/>
          <w:sz w:val="32"/>
          <w:szCs w:val="32"/>
          <w:shd w:val="clear" w:color="auto" w:fill="FFFFFF"/>
          <w:lang w:eastAsia="zh-CN"/>
        </w:rPr>
        <w:t>急预案征求意见稿</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的第二部分，对组织指挥体系中作了较大修改，</w:t>
      </w:r>
      <w:r>
        <w:rPr>
          <w:rFonts w:hint="eastAsia" w:ascii="仿宋_GB2312" w:eastAsia="仿宋_GB2312"/>
          <w:sz w:val="32"/>
          <w:szCs w:val="32"/>
          <w:lang w:eastAsia="zh-CN"/>
        </w:rPr>
        <w:t>删除了省以上组织指挥体系职责，明确了市、县指挥体系职责，更加符合市、县（区）工作实际。</w:t>
      </w:r>
    </w:p>
    <w:p>
      <w:pPr>
        <w:keepNext w:val="0"/>
        <w:keepLines w:val="0"/>
        <w:pageBreakBefore w:val="0"/>
        <w:kinsoku/>
        <w:wordWrap/>
        <w:overflowPunct/>
        <w:topLinePunct w:val="0"/>
        <w:autoSpaceDE/>
        <w:autoSpaceDN/>
        <w:bidi w:val="0"/>
        <w:adjustRightInd/>
        <w:snapToGrid/>
        <w:ind w:firstLine="640" w:firstLineChars="200"/>
        <w:jc w:val="both"/>
        <w:textAlignment w:val="auto"/>
        <w:rPr>
          <w:rFonts w:hint="eastAsia" w:ascii="楷体_GB2312" w:hAnsi="楷体_GB2312" w:eastAsia="楷体_GB2312" w:cs="楷体_GB2312"/>
          <w:sz w:val="32"/>
          <w:szCs w:val="32"/>
          <w:lang w:eastAsia="zh-CN"/>
        </w:rPr>
      </w:pPr>
    </w:p>
    <w:p>
      <w:pPr>
        <w:keepNext w:val="0"/>
        <w:keepLines w:val="0"/>
        <w:pageBreakBefore w:val="0"/>
        <w:kinsoku/>
        <w:wordWrap/>
        <w:overflowPunct/>
        <w:topLinePunct w:val="0"/>
        <w:autoSpaceDE/>
        <w:autoSpaceDN/>
        <w:bidi w:val="0"/>
        <w:adjustRightInd/>
        <w:snapToGrid/>
        <w:jc w:val="both"/>
        <w:textAlignment w:val="auto"/>
        <w:rPr>
          <w:rFonts w:hint="eastAsia"/>
        </w:rPr>
      </w:pPr>
      <w:bookmarkStart w:id="0" w:name="_GoBack"/>
      <w:bookmarkEnd w:id="0"/>
    </w:p>
    <w:p>
      <w:pPr>
        <w:pStyle w:val="2"/>
        <w:numPr>
          <w:ilvl w:val="0"/>
          <w:numId w:val="0"/>
        </w:numPr>
        <w:ind w:firstLine="620" w:firstLineChars="200"/>
        <w:rPr>
          <w:rFonts w:hint="eastAsia" w:eastAsia="仿宋_GB2312"/>
          <w:lang w:eastAsia="zh-CN"/>
        </w:rPr>
      </w:pPr>
    </w:p>
    <w:p>
      <w:pPr>
        <w:rPr>
          <w:rFonts w:hint="eastAsia" w:eastAsia="宋体"/>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4CEC4E"/>
    <w:multiLevelType w:val="singleLevel"/>
    <w:tmpl w:val="514CEC4E"/>
    <w:lvl w:ilvl="0" w:tentative="0">
      <w:start w:val="2"/>
      <w:numFmt w:val="chineseCounting"/>
      <w:suff w:val="nothing"/>
      <w:lvlText w:val="%1、"/>
      <w:lvlJc w:val="left"/>
      <w:rPr>
        <w:rFonts w:hint="eastAsia"/>
      </w:rPr>
    </w:lvl>
  </w:abstractNum>
  <w:abstractNum w:abstractNumId="1">
    <w:nsid w:val="5FC53B9D"/>
    <w:multiLevelType w:val="singleLevel"/>
    <w:tmpl w:val="5FC53B9D"/>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5ODIxZDZlYmZjMzUzM2IxMzA3NDhkZGJjMzBiNmUifQ=="/>
  </w:docVars>
  <w:rsids>
    <w:rsidRoot w:val="6A432FC0"/>
    <w:rsid w:val="39450AD5"/>
    <w:rsid w:val="53CF526B"/>
    <w:rsid w:val="6A432FC0"/>
    <w:rsid w:val="7B4A57CA"/>
    <w:rsid w:val="FD2EEB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_Style 2"/>
    <w:basedOn w:val="1"/>
    <w:qFormat/>
    <w:uiPriority w:val="0"/>
    <w:pPr>
      <w:spacing w:line="351" w:lineRule="atLeast"/>
      <w:ind w:firstLine="623"/>
      <w:textAlignment w:val="baseline"/>
    </w:pPr>
    <w:rPr>
      <w:rFonts w:ascii="Times New Roman" w:hAnsi="Times New Roman" w:eastAsia="仿宋_GB2312"/>
      <w:color w:val="000000"/>
      <w:sz w:val="31"/>
      <w:szCs w:val="31"/>
      <w:u w:color="00000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930</Words>
  <Characters>947</Characters>
  <Lines>0</Lines>
  <Paragraphs>0</Paragraphs>
  <TotalTime>1</TotalTime>
  <ScaleCrop>false</ScaleCrop>
  <LinksUpToDate>false</LinksUpToDate>
  <CharactersWithSpaces>949</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2023-07-06T09:08:00Z</dcterms:created>
  <dc:creator>方平</dc:creator>
  <cp:lastModifiedBy>kylin</cp:lastModifiedBy>
  <dcterms:modified xsi:type="dcterms:W3CDTF">2023-07-11T11:53:40Z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0CD27245AB6A410D8AB73E0B38DDFB88_11</vt:lpwstr>
  </property>
</Properties>
</file>