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EF2BC">
      <w:pPr>
        <w:pStyle w:val="122"/>
        <w:framePr w:wrap="around"/>
        <w:rPr>
          <w:rFonts w:ascii="Times New Roman"/>
        </w:rPr>
      </w:pPr>
      <w:r>
        <w:rPr>
          <w:rFonts w:ascii="Times New Roman"/>
        </w:rPr>
        <w:t>ICS</w:t>
      </w:r>
      <w:r>
        <w:rPr>
          <w:rFonts w:ascii="Times New Roman" w:eastAsia="MS Gothic"/>
        </w:rPr>
        <w:t> </w:t>
      </w:r>
      <w:bookmarkStart w:id="0" w:name="ICS"/>
      <w:r>
        <w:rPr>
          <w:rFonts w:ascii="Times New Roman"/>
        </w:rPr>
        <w:fldChar w:fldCharType="begin">
          <w:ffData>
            <w:name w:val="ICS"/>
            <w:enabled/>
            <w:calcOnExit w:val="0"/>
            <w:helpText w:type="text" w:val="请输入正确的ICS号："/>
            <w:textInput>
              <w:default w:val="点击此处添加ICS号"/>
            </w:textInput>
          </w:ffData>
        </w:fldChar>
      </w:r>
      <w:r>
        <w:rPr>
          <w:rFonts w:ascii="Times New Roman"/>
        </w:rPr>
        <w:instrText xml:space="preserve"> FORMTEXT </w:instrText>
      </w:r>
      <w:r>
        <w:rPr>
          <w:rFonts w:ascii="Times New Roman"/>
        </w:rPr>
        <w:fldChar w:fldCharType="separate"/>
      </w:r>
      <w:r>
        <w:rPr>
          <w:rFonts w:ascii="Times New Roman"/>
        </w:rPr>
        <w:t>67.140.10</w:t>
      </w:r>
      <w:r>
        <w:rPr>
          <w:rFonts w:ascii="Times New Roman"/>
        </w:rPr>
        <w:fldChar w:fldCharType="end"/>
      </w:r>
      <w:bookmarkEnd w:id="0"/>
    </w:p>
    <w:p w14:paraId="0A65D02B">
      <w:pPr>
        <w:pStyle w:val="122"/>
        <w:framePr w:wrap="around"/>
        <w:rPr>
          <w:rFonts w:ascii="Times New Roman"/>
        </w:rPr>
      </w:pPr>
      <w:bookmarkStart w:id="1" w:name="WXFLH"/>
      <w:r>
        <w:rPr>
          <w:rFonts w:ascii="Times New Roman"/>
        </w:rPr>
        <w:fldChar w:fldCharType="begin">
          <w:ffData>
            <w:name w:val="WXFLH"/>
            <w:enabled/>
            <w:calcOnExit w:val="0"/>
            <w:helpText w:type="text" w:val="请输入中国标准文献分类号："/>
            <w:textInput>
              <w:default w:val="点击此处添加中国标准文献分类号"/>
            </w:textInput>
          </w:ffData>
        </w:fldChar>
      </w:r>
      <w:r>
        <w:rPr>
          <w:rFonts w:ascii="Times New Roman"/>
        </w:rPr>
        <w:instrText xml:space="preserve"> FORMTEXT </w:instrText>
      </w:r>
      <w:r>
        <w:rPr>
          <w:rFonts w:ascii="Times New Roman"/>
        </w:rPr>
        <w:fldChar w:fldCharType="separate"/>
      </w:r>
      <w:r>
        <w:rPr>
          <w:rFonts w:ascii="Times New Roman"/>
        </w:rPr>
        <w:t>X55</w:t>
      </w:r>
      <w:r>
        <w:rPr>
          <w:rFonts w:ascii="Times New Roman"/>
        </w:rPr>
        <w:fldChar w:fldCharType="end"/>
      </w:r>
      <w:bookmarkEnd w:id="1"/>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353AF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tcBorders>
              <w:top w:val="nil"/>
              <w:left w:val="nil"/>
              <w:bottom w:val="nil"/>
              <w:right w:val="nil"/>
            </w:tcBorders>
            <w:shd w:val="clear" w:color="auto" w:fill="auto"/>
          </w:tcPr>
          <w:p w14:paraId="4D193BFA">
            <w:pPr>
              <w:pStyle w:val="122"/>
              <w:framePr w:wrap="around"/>
              <w:rPr>
                <w:rFonts w:ascii="Times New Roman"/>
              </w:rPr>
            </w:pPr>
            <w:r>
              <w:rPr>
                <w:rFonts w:ascii="Times New Roman"/>
              </w:rPr>
              <mc:AlternateContent>
                <mc:Choice Requires="wps">
                  <w:drawing>
                    <wp:anchor distT="0" distB="0" distL="114300" distR="114300" simplePos="0" relativeHeight="251663360" behindDoc="1" locked="0" layoutInCell="1" allowOverlap="1">
                      <wp:simplePos x="0" y="0"/>
                      <wp:positionH relativeFrom="column">
                        <wp:posOffset>-66675</wp:posOffset>
                      </wp:positionH>
                      <wp:positionV relativeFrom="paragraph">
                        <wp:posOffset>0</wp:posOffset>
                      </wp:positionV>
                      <wp:extent cx="866775" cy="198120"/>
                      <wp:effectExtent l="0" t="3810" r="4445" b="0"/>
                      <wp:wrapNone/>
                      <wp:docPr id="6" name="BAH"/>
                      <wp:cNvGraphicFramePr/>
                      <a:graphic xmlns:a="http://schemas.openxmlformats.org/drawingml/2006/main">
                        <a:graphicData uri="http://schemas.microsoft.com/office/word/2010/wordprocessingShape">
                          <wps:wsp>
                            <wps:cNvSpPr>
                              <a:spLocks noChangeArrowheads="1"/>
                            </wps:cNvSpPr>
                            <wps:spPr bwMode="auto">
                              <a:xfrm>
                                <a:off x="0" y="0"/>
                                <a:ext cx="866775" cy="19812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BAH" o:spid="_x0000_s1026" o:spt="1" style="position:absolute;left:0pt;margin-left:-5.25pt;margin-top:0pt;height:15.6pt;width:68.25pt;z-index:-251653120;mso-width-relative:page;mso-height-relative:page;" fillcolor="#FFFFFF" filled="t" stroked="f" coordsize="21600,21600" o:gfxdata="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K4v7NUAAAAHAQAADwAAAAAAAAABACAAAAAi&#10;AAAAZHJzL2Rvd25yZXYueG1sUEsBAhQAFAAAAAgAh07iQMhJMdUNAgAAIAQAAA4AAAAAAAAAAQAg&#10;AAAAJAEAAGRycy9lMm9Eb2MueG1sUEsFBgAAAAAGAAYAWQEAAKMFAAAAAA==&#10;">
                      <v:fill on="t" focussize="0,0"/>
                      <v:stroke on="f"/>
                      <v:imagedata o:title=""/>
                      <o:lock v:ext="edit" aspectratio="f"/>
                    </v:rect>
                  </w:pict>
                </mc:Fallback>
              </mc:AlternateContent>
            </w:r>
            <w:r>
              <w:rPr>
                <w:rFonts w:ascii="Times New Roman"/>
              </w:rPr>
              <w:fldChar w:fldCharType="begin">
                <w:ffData>
                  <w:name w:val="BAH"/>
                  <w:enabled/>
                  <w:calcOnExit w:val="0"/>
                  <w:textInput/>
                </w:ffData>
              </w:fldChar>
            </w:r>
            <w:bookmarkStart w:id="2" w:name="BAH"/>
            <w:r>
              <w:rPr>
                <w:rFonts w:ascii="Times New Roman"/>
              </w:rPr>
              <w:instrText xml:space="preserve"> FORMTEXT </w:instrText>
            </w:r>
            <w:r>
              <w:rPr>
                <w:rFonts w:ascii="Times New Roman"/>
              </w:rPr>
              <w:fldChar w:fldCharType="separate"/>
            </w:r>
            <w:r>
              <w:rPr>
                <w:rFonts w:ascii="Times New Roman"/>
              </w:rPr>
              <w:t>     </w:t>
            </w:r>
            <w:r>
              <w:rPr>
                <w:rFonts w:ascii="Times New Roman"/>
              </w:rPr>
              <w:fldChar w:fldCharType="end"/>
            </w:r>
            <w:bookmarkEnd w:id="2"/>
          </w:p>
        </w:tc>
      </w:tr>
    </w:tbl>
    <w:p w14:paraId="099CEE1B">
      <w:pPr>
        <w:pStyle w:val="108"/>
        <w:framePr w:wrap="around"/>
      </w:pPr>
      <w:r>
        <w:t>DB</w:t>
      </w:r>
      <w:bookmarkStart w:id="3" w:name="c3"/>
      <w:r>
        <w:fldChar w:fldCharType="begin">
          <w:ffData>
            <w:name w:val="c3"/>
            <w:enabled/>
            <w:calcOnExit w:val="0"/>
            <w:entryMacro w:val="ShowHelp16"/>
            <w:textInput>
              <w:maxLength w:val="2"/>
            </w:textInput>
          </w:ffData>
        </w:fldChar>
      </w:r>
      <w:r>
        <w:instrText xml:space="preserve"> FORMTEXT </w:instrText>
      </w:r>
      <w:r>
        <w:fldChar w:fldCharType="separate"/>
      </w:r>
      <w:r>
        <w:t>34</w:t>
      </w:r>
      <w:r>
        <w:fldChar w:fldCharType="end"/>
      </w:r>
      <w:bookmarkEnd w:id="3"/>
    </w:p>
    <w:p w14:paraId="13DB61AD">
      <w:pPr>
        <w:pStyle w:val="109"/>
        <w:framePr w:wrap="around"/>
        <w:rPr>
          <w:rFonts w:ascii="Times New Roman" w:hAnsi="Times New Roman"/>
        </w:rPr>
      </w:pPr>
      <w:bookmarkStart w:id="4" w:name="c4"/>
      <w:r>
        <w:rPr>
          <w:rFonts w:ascii="Times New Roman" w:hAnsi="Times New Roman"/>
        </w:rPr>
        <w:fldChar w:fldCharType="begin">
          <w:ffData>
            <w:name w:val="c4"/>
            <w:enabled/>
            <w:calcOnExit w:val="0"/>
            <w:entryMacro w:val="showhelp12"/>
            <w:textInput/>
          </w:ffData>
        </w:fldChar>
      </w:r>
      <w:r>
        <w:rPr>
          <w:rFonts w:ascii="Times New Roman" w:hAnsi="Times New Roman"/>
        </w:rPr>
        <w:instrText xml:space="preserve"> FORMTEXT </w:instrText>
      </w:r>
      <w:r>
        <w:rPr>
          <w:rFonts w:ascii="Times New Roman" w:hAnsi="Times New Roman"/>
        </w:rPr>
        <w:fldChar w:fldCharType="separate"/>
      </w:r>
      <w:r>
        <w:rPr>
          <w:rFonts w:ascii="Times New Roman" w:hAnsi="Times New Roman"/>
        </w:rPr>
        <w:t>安徽省</w:t>
      </w:r>
      <w:r>
        <w:rPr>
          <w:rFonts w:ascii="Times New Roman" w:hAnsi="Times New Roman"/>
        </w:rPr>
        <w:fldChar w:fldCharType="end"/>
      </w:r>
      <w:bookmarkEnd w:id="4"/>
      <w:r>
        <w:rPr>
          <w:rFonts w:hint="eastAsia" w:ascii="Times New Roman" w:hAnsi="Times New Roman"/>
          <w:lang w:val="en-US" w:eastAsia="zh-CN"/>
        </w:rPr>
        <w:t>池州市</w:t>
      </w:r>
      <w:r>
        <w:rPr>
          <w:rFonts w:ascii="Times New Roman" w:hAnsi="Times New Roman"/>
        </w:rPr>
        <w:t>地方标准</w:t>
      </w:r>
    </w:p>
    <w:p w14:paraId="69E49842">
      <w:pPr>
        <w:pStyle w:val="46"/>
        <w:framePr w:wrap="around"/>
        <w:wordWrap w:val="0"/>
        <w:rPr>
          <w:rFonts w:ascii="Times New Roman"/>
        </w:rPr>
      </w:pPr>
      <w:r>
        <w:rPr>
          <w:rFonts w:ascii="Times New Roman"/>
        </w:rPr>
        <w:t xml:space="preserve">DB </w:t>
      </w:r>
      <w:bookmarkStart w:id="5" w:name="StdNo0"/>
      <w:r>
        <w:rPr>
          <w:rFonts w:ascii="Times New Roman"/>
        </w:rPr>
        <w:fldChar w:fldCharType="begin">
          <w:ffData>
            <w:name w:val="StdNo0"/>
            <w:enabled/>
            <w:calcOnExit w:val="0"/>
            <w:textInput>
              <w:default w:val="XX"/>
              <w:maxLength w:val="2"/>
            </w:textInput>
          </w:ffData>
        </w:fldChar>
      </w:r>
      <w:r>
        <w:rPr>
          <w:rFonts w:ascii="Times New Roman"/>
        </w:rPr>
        <w:instrText xml:space="preserve"> FORMTEXT </w:instrText>
      </w:r>
      <w:r>
        <w:rPr>
          <w:rFonts w:ascii="Times New Roman"/>
        </w:rPr>
        <w:fldChar w:fldCharType="separate"/>
      </w:r>
      <w:r>
        <w:rPr>
          <w:rFonts w:ascii="Times New Roman"/>
        </w:rPr>
        <w:t>34</w:t>
      </w:r>
      <w:r>
        <w:rPr>
          <w:rFonts w:ascii="Times New Roman"/>
        </w:rPr>
        <w:fldChar w:fldCharType="end"/>
      </w:r>
      <w:bookmarkEnd w:id="5"/>
      <w:r>
        <w:rPr>
          <w:rFonts w:ascii="Times New Roman"/>
        </w:rPr>
        <w:t xml:space="preserve">/ </w:t>
      </w:r>
      <w:bookmarkStart w:id="6" w:name="StdNo1"/>
      <w:r>
        <w:rPr>
          <w:rFonts w:ascii="Times New Roman"/>
        </w:rPr>
        <w:fldChar w:fldCharType="begin">
          <w:ffData>
            <w:name w:val="StdNo1"/>
            <w:enabled/>
            <w:calcOnExit w:val="0"/>
            <w:textInput>
              <w:default w:val="XXXXX"/>
            </w:textInput>
          </w:ffData>
        </w:fldChar>
      </w:r>
      <w:r>
        <w:rPr>
          <w:rFonts w:ascii="Times New Roman"/>
        </w:rPr>
        <w:instrText xml:space="preserve"> FORMTEXT </w:instrText>
      </w:r>
      <w:r>
        <w:rPr>
          <w:rFonts w:ascii="Times New Roman"/>
        </w:rPr>
        <w:fldChar w:fldCharType="separate"/>
      </w:r>
      <w:r>
        <w:rPr>
          <w:rFonts w:ascii="Times New Roman"/>
        </w:rPr>
        <w:t xml:space="preserve">T   </w:t>
      </w:r>
      <w:r>
        <w:rPr>
          <w:rFonts w:ascii="Times New Roman"/>
        </w:rPr>
        <w:fldChar w:fldCharType="end"/>
      </w:r>
      <w:bookmarkEnd w:id="6"/>
      <w:r>
        <w:rPr>
          <w:rFonts w:ascii="Times New Roman"/>
        </w:rPr>
        <w:t>—202X</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6"/>
      </w:tblGrid>
      <w:tr w14:paraId="6FCA2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shd w:val="clear" w:color="auto" w:fill="auto"/>
          </w:tcPr>
          <w:p w14:paraId="39447168">
            <w:pPr>
              <w:pStyle w:val="75"/>
              <w:framePr w:wrap="around"/>
              <w:rPr>
                <w:rFonts w:ascii="Times New Roman"/>
              </w:rPr>
            </w:pPr>
            <w:bookmarkStart w:id="7" w:name="DT"/>
            <w:r>
              <w:rPr>
                <w:rFonts w:ascii="Times New Roman"/>
              </w:rPr>
              <w:fldChar w:fldCharType="begin">
                <w:ffData>
                  <w:name w:val="DT"/>
                  <w:enabled/>
                  <w:calcOnExit w:val="0"/>
                  <w:entryMacro w:val="ShowHelp4"/>
                  <w:textInput/>
                </w:ffData>
              </w:fldChar>
            </w:r>
            <w:r>
              <w:rPr>
                <w:rFonts w:ascii="Times New Roman"/>
              </w:rPr>
              <w:instrText xml:space="preserve"> FORMTEXT </w:instrText>
            </w:r>
            <w:r>
              <w:rPr>
                <w:rFonts w:ascii="Times New Roman"/>
              </w:rPr>
              <w:fldChar w:fldCharType="separate"/>
            </w:r>
            <w:r>
              <w:rPr>
                <w:rFonts w:ascii="Times New Roman"/>
              </w:rPr>
              <w:t>     </w:t>
            </w:r>
            <w:r>
              <w:rPr>
                <w:rFonts w:ascii="Times New Roman"/>
              </w:rPr>
              <w:fldChar w:fldCharType="end"/>
            </w:r>
            <w:bookmarkEnd w:id="7"/>
          </w:p>
        </w:tc>
      </w:tr>
    </w:tbl>
    <w:p w14:paraId="7E22D57A">
      <w:pPr>
        <w:pStyle w:val="46"/>
        <w:framePr w:wrap="around"/>
        <w:rPr>
          <w:rFonts w:ascii="Times New Roman"/>
        </w:rPr>
      </w:pPr>
    </w:p>
    <w:p w14:paraId="73A3D223">
      <w:pPr>
        <w:pStyle w:val="46"/>
        <w:framePr w:wrap="around"/>
        <w:rPr>
          <w:rFonts w:ascii="Times New Roman"/>
        </w:rPr>
      </w:pPr>
    </w:p>
    <w:p w14:paraId="22C54D95">
      <w:pPr>
        <w:pStyle w:val="77"/>
        <w:framePr w:wrap="around"/>
        <w:rPr>
          <w:rFonts w:ascii="Times New Roman"/>
        </w:rPr>
      </w:pPr>
      <w:r>
        <w:rPr>
          <w:rFonts w:ascii="Times New Roman"/>
        </w:rPr>
        <w:fldChar w:fldCharType="begin">
          <w:ffData>
            <w:name w:val="StdName"/>
            <w:enabled w:val="0"/>
            <w:calcOnExit w:val="0"/>
            <w:textInput>
              <w:default w:val="霄坑绿茶机械化加工技术规程"/>
            </w:textInput>
          </w:ffData>
        </w:fldChar>
      </w:r>
      <w:bookmarkStart w:id="8" w:name="StdName"/>
      <w:r>
        <w:rPr>
          <w:rFonts w:ascii="Times New Roman"/>
        </w:rPr>
        <w:instrText xml:space="preserve"> FORMTEXT </w:instrText>
      </w:r>
      <w:r>
        <w:rPr>
          <w:rFonts w:ascii="Times New Roman"/>
        </w:rPr>
        <w:fldChar w:fldCharType="separate"/>
      </w:r>
      <w:r>
        <w:rPr>
          <w:rFonts w:hint="eastAsia" w:ascii="Times New Roman"/>
        </w:rPr>
        <w:t>霄坑绿茶机械化加工技术规程</w:t>
      </w:r>
      <w:r>
        <w:rPr>
          <w:rFonts w:ascii="Times New Roman"/>
        </w:rPr>
        <w:fldChar w:fldCharType="end"/>
      </w:r>
      <w:bookmarkEnd w:id="8"/>
    </w:p>
    <w:p w14:paraId="43626CD4">
      <w:pPr>
        <w:pStyle w:val="78"/>
        <w:framePr w:wrap="around"/>
      </w:pPr>
      <w:r>
        <w:t xml:space="preserve"> </w:t>
      </w:r>
      <w:bookmarkStart w:id="9" w:name="StdEnglishName"/>
      <w:r>
        <w:rPr>
          <w:rFonts w:ascii="Times New Roman" w:hAnsi="Times New Roman" w:eastAsia="黑体" w:cs="Times New Roman"/>
          <w:sz w:val="28"/>
          <w:szCs w:val="28"/>
          <w:lang w:val="en-US" w:eastAsia="zh-CN" w:bidi="ar-SA"/>
        </w:rPr>
        <w:fldChar w:fldCharType="begin">
          <w:ffData>
            <w:name w:val="StdEnglishName"/>
            <w:enabled/>
            <w:calcOnExit w:val="0"/>
            <w:textInput>
              <w:default w:val="Mechanized Processing Technical Specification for Xiaokeng Green Tea"/>
            </w:textInput>
          </w:ffData>
        </w:fldChar>
      </w:r>
      <w:r>
        <w:rPr>
          <w:rFonts w:ascii="Times New Roman" w:hAnsi="Times New Roman" w:eastAsia="黑体" w:cs="Times New Roman"/>
          <w:sz w:val="28"/>
          <w:szCs w:val="28"/>
          <w:lang w:val="en-US" w:eastAsia="zh-CN" w:bidi="ar-SA"/>
        </w:rPr>
        <w:instrText xml:space="preserve">FORMTEXT</w:instrText>
      </w:r>
      <w:r>
        <w:rPr>
          <w:rFonts w:ascii="Times New Roman" w:hAnsi="Times New Roman" w:eastAsia="黑体" w:cs="Times New Roman"/>
          <w:sz w:val="28"/>
          <w:szCs w:val="28"/>
          <w:lang w:val="en-US" w:eastAsia="zh-CN" w:bidi="ar-SA"/>
        </w:rPr>
        <w:fldChar w:fldCharType="separate"/>
      </w:r>
      <w:r>
        <w:rPr>
          <w:rFonts w:ascii="Times New Roman" w:hAnsi="Times New Roman" w:eastAsia="黑体" w:cs="Times New Roman"/>
          <w:sz w:val="28"/>
          <w:szCs w:val="28"/>
          <w:lang w:val="en-US" w:eastAsia="zh-CN" w:bidi="ar-SA"/>
        </w:rPr>
        <w:t>Mechanized Processing Technical Specification for Xiaokeng Green Tea</w:t>
      </w:r>
      <w:r>
        <w:rPr>
          <w:rFonts w:ascii="Times New Roman" w:hAnsi="Times New Roman" w:eastAsia="黑体" w:cs="Times New Roman"/>
          <w:sz w:val="28"/>
          <w:szCs w:val="28"/>
          <w:lang w:val="en-US" w:eastAsia="zh-CN" w:bidi="ar-SA"/>
        </w:rPr>
        <w:fldChar w:fldCharType="end"/>
      </w:r>
      <w:bookmarkEnd w:id="9"/>
    </w:p>
    <w:p w14:paraId="5D397D89">
      <w:pPr>
        <w:pStyle w:val="78"/>
        <w:framePr w:wrap="around"/>
        <w:jc w:val="both"/>
      </w:pPr>
    </w:p>
    <w:p w14:paraId="1BAD0BBC">
      <w:pPr>
        <w:pStyle w:val="79"/>
        <w:framePr w:wrap="around"/>
        <w:rPr>
          <w:rFonts w:ascii="Times New Roman"/>
          <w:b/>
          <w:bCs/>
          <w:sz w:val="52"/>
          <w:szCs w:val="52"/>
        </w:rPr>
      </w:pPr>
      <w:r>
        <w:rPr>
          <w:rFonts w:hint="eastAsia" w:ascii="Times New Roman"/>
          <w:b/>
          <w:bCs/>
          <w:sz w:val="52"/>
          <w:szCs w:val="52"/>
        </w:rPr>
        <w:t>（ 草 案 ）</w:t>
      </w:r>
    </w:p>
    <w:tbl>
      <w:tblPr>
        <w:tblStyle w:val="31"/>
        <w:tblW w:w="98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19"/>
      </w:tblGrid>
      <w:tr w14:paraId="4EF9F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1" w:hRule="atLeast"/>
        </w:trPr>
        <w:tc>
          <w:tcPr>
            <w:tcW w:w="9819" w:type="dxa"/>
            <w:tcBorders>
              <w:top w:val="nil"/>
              <w:left w:val="nil"/>
              <w:bottom w:val="nil"/>
              <w:right w:val="nil"/>
            </w:tcBorders>
            <w:shd w:val="clear" w:color="auto" w:fill="auto"/>
          </w:tcPr>
          <w:p w14:paraId="24E54CA6">
            <w:pPr>
              <w:pStyle w:val="80"/>
              <w:framePr w:wrap="around"/>
              <w:jc w:val="both"/>
              <w:rPr>
                <w:rFonts w:ascii="Times New Roman"/>
                <w:sz w:val="52"/>
                <w:szCs w:val="52"/>
              </w:rPr>
            </w:pPr>
          </w:p>
        </w:tc>
      </w:tr>
      <w:tr w14:paraId="310E1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9819" w:type="dxa"/>
            <w:tcBorders>
              <w:top w:val="nil"/>
              <w:left w:val="nil"/>
              <w:bottom w:val="nil"/>
              <w:right w:val="nil"/>
            </w:tcBorders>
            <w:shd w:val="clear" w:color="auto" w:fill="auto"/>
          </w:tcPr>
          <w:p w14:paraId="45B62B87">
            <w:pPr>
              <w:pStyle w:val="81"/>
              <w:framePr w:wrap="around"/>
              <w:rPr>
                <w:rFonts w:ascii="Times New Roman"/>
              </w:rPr>
            </w:pPr>
          </w:p>
        </w:tc>
      </w:tr>
    </w:tbl>
    <w:p w14:paraId="21DBF136">
      <w:pPr>
        <w:pStyle w:val="129"/>
        <w:framePr w:wrap="around" w:hAnchor="page" w:x="1315" w:y="14055"/>
      </w:pPr>
      <w:r>
        <w:t xml:space="preserve">202X- </w:t>
      </w:r>
      <w:r>
        <w:fldChar w:fldCharType="begin">
          <w:ffData>
            <w:name w:val="FM"/>
            <w:enabled/>
            <w:calcOnExit w:val="0"/>
            <w:entryMacro w:val="ShowHelp8"/>
            <w:textInput>
              <w:default w:val="XX"/>
              <w:maxLength w:val="2"/>
            </w:textInput>
          </w:ffData>
        </w:fldChar>
      </w:r>
      <w:r>
        <w:instrText xml:space="preserve"> FORMTEXT </w:instrText>
      </w:r>
      <w:r>
        <w:fldChar w:fldCharType="separate"/>
      </w:r>
      <w:r>
        <w:t>XX</w:t>
      </w:r>
      <w:r>
        <w:fldChar w:fldCharType="end"/>
      </w:r>
      <w:r>
        <w:t xml:space="preserve"> - </w:t>
      </w:r>
      <w:bookmarkStart w:id="10" w:name="FD"/>
      <w:r>
        <w:fldChar w:fldCharType="begin">
          <w:ffData>
            <w:name w:val="FD"/>
            <w:enabled/>
            <w:calcOnExit w:val="0"/>
            <w:entryMacro w:val="ShowHelp8"/>
            <w:textInput>
              <w:default w:val="XX"/>
              <w:maxLength w:val="2"/>
            </w:textInput>
          </w:ffData>
        </w:fldChar>
      </w:r>
      <w:r>
        <w:instrText xml:space="preserve"> FORMTEXT </w:instrText>
      </w:r>
      <w:r>
        <w:fldChar w:fldCharType="separate"/>
      </w:r>
      <w:r>
        <w:t>XX</w:t>
      </w:r>
      <w:r>
        <w:fldChar w:fldCharType="end"/>
      </w:r>
      <w:bookmarkEnd w:id="10"/>
      <w:r>
        <w:t>发布</w:t>
      </w:r>
      <w:r>
        <mc:AlternateContent>
          <mc:Choice Requires="wps">
            <w:drawing>
              <wp:anchor distT="0" distB="0" distL="114300" distR="114300" simplePos="0" relativeHeight="251659264" behindDoc="0" locked="1" layoutInCell="1" allowOverlap="1">
                <wp:simplePos x="0" y="0"/>
                <wp:positionH relativeFrom="column">
                  <wp:posOffset>-33020</wp:posOffset>
                </wp:positionH>
                <wp:positionV relativeFrom="page">
                  <wp:posOffset>9251950</wp:posOffset>
                </wp:positionV>
                <wp:extent cx="6120130" cy="0"/>
                <wp:effectExtent l="10795" t="12700" r="12700" b="6350"/>
                <wp:wrapNone/>
                <wp:docPr id="4"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0" o:spid="_x0000_s1026" o:spt="20" style="position:absolute;left:0pt;margin-left:-2.6pt;margin-top:728.5pt;height:0pt;width:481.9pt;mso-position-vertical-relative:page;z-index:251659264;mso-width-relative:page;mso-height-relative:page;" filled="f" stroked="t" coordsize="21600,21600" o:gfxdata="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qwIl7XAAAADAEAAA8AAAAAAAAAAQAgAAAAIgAAAGRycy9k&#10;b3ducmV2LnhtbFBLAQIUABQAAAAIAIdO4kAe0O0dygEAAKADAAAOAAAAAAAAAAEAIAAAACYBAABk&#10;cnMvZTJvRG9jLnhtbFBLBQYAAAAABgAGAFkBAABiBQAAAAA=&#10;">
                <v:fill on="f" focussize="0,0"/>
                <v:stroke color="#000000" joinstyle="round"/>
                <v:imagedata o:title=""/>
                <o:lock v:ext="edit" aspectratio="f"/>
                <w10:anchorlock/>
              </v:line>
            </w:pict>
          </mc:Fallback>
        </mc:AlternateContent>
      </w:r>
    </w:p>
    <w:p w14:paraId="050C8722">
      <w:pPr>
        <w:pStyle w:val="130"/>
        <w:framePr w:wrap="around" w:hAnchor="page" w:x="6706" w:y="14078"/>
      </w:pPr>
      <w:r>
        <w:t xml:space="preserve">202X- </w:t>
      </w:r>
      <w:r>
        <w:fldChar w:fldCharType="begin">
          <w:ffData>
            <w:name w:val="SM"/>
            <w:enabled/>
            <w:calcOnExit w:val="0"/>
            <w:textInput>
              <w:default w:val="XX"/>
              <w:maxLength w:val="2"/>
            </w:textInput>
          </w:ffData>
        </w:fldChar>
      </w:r>
      <w:bookmarkStart w:id="11" w:name="SM"/>
      <w:r>
        <w:instrText xml:space="preserve"> FORMTEXT </w:instrText>
      </w:r>
      <w:r>
        <w:fldChar w:fldCharType="separate"/>
      </w:r>
      <w:r>
        <w:t>XX</w:t>
      </w:r>
      <w:r>
        <w:fldChar w:fldCharType="end"/>
      </w:r>
      <w:bookmarkEnd w:id="11"/>
      <w:r>
        <w:t xml:space="preserve"> - </w:t>
      </w:r>
      <w:bookmarkStart w:id="12" w:name="SD"/>
      <w:r>
        <w:fldChar w:fldCharType="begin">
          <w:ffData>
            <w:name w:val="SD"/>
            <w:enabled/>
            <w:calcOnExit w:val="0"/>
            <w:entryMacro w:val="ShowHelp9"/>
            <w:textInput>
              <w:default w:val="XX"/>
              <w:maxLength w:val="2"/>
            </w:textInput>
          </w:ffData>
        </w:fldChar>
      </w:r>
      <w:r>
        <w:instrText xml:space="preserve"> FORMTEXT </w:instrText>
      </w:r>
      <w:r>
        <w:fldChar w:fldCharType="separate"/>
      </w:r>
      <w:r>
        <w:t>XX</w:t>
      </w:r>
      <w:r>
        <w:fldChar w:fldCharType="end"/>
      </w:r>
      <w:bookmarkEnd w:id="12"/>
      <w:r>
        <w:t>实施</w:t>
      </w:r>
    </w:p>
    <w:p w14:paraId="241B4A27">
      <w:pPr>
        <w:pStyle w:val="110"/>
        <w:framePr w:wrap="around"/>
        <w:rPr>
          <w:rFonts w:ascii="Times New Roman"/>
        </w:rPr>
      </w:pPr>
      <w:bookmarkStart w:id="13" w:name="fm"/>
      <w:r>
        <w:rPr>
          <w:rFonts w:ascii="Times New Roman"/>
          <w:w w:val="100"/>
        </w:rPr>
        <mc:AlternateContent>
          <mc:Choice Requires="wps">
            <w:drawing>
              <wp:anchor distT="0" distB="0" distL="114300" distR="114300" simplePos="0" relativeHeight="251662336" behindDoc="1" locked="0" layoutInCell="1" allowOverlap="1">
                <wp:simplePos x="0" y="0"/>
                <wp:positionH relativeFrom="column">
                  <wp:posOffset>1810385</wp:posOffset>
                </wp:positionH>
                <wp:positionV relativeFrom="paragraph">
                  <wp:posOffset>-3942715</wp:posOffset>
                </wp:positionV>
                <wp:extent cx="1270000" cy="304800"/>
                <wp:effectExtent l="3175" t="0" r="3175" b="3175"/>
                <wp:wrapNone/>
                <wp:docPr id="3" name="LB"/>
                <wp:cNvGraphicFramePr/>
                <a:graphic xmlns:a="http://schemas.openxmlformats.org/drawingml/2006/main">
                  <a:graphicData uri="http://schemas.microsoft.com/office/word/2010/wordprocessingShape">
                    <wps:wsp>
                      <wps:cNvSpPr>
                        <a:spLocks noChangeArrowheads="1"/>
                      </wps:cNvSpPr>
                      <wps:spPr bwMode="auto">
                        <a:xfrm>
                          <a:off x="0" y="0"/>
                          <a:ext cx="1270000" cy="3048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LB" o:spid="_x0000_s1026" o:spt="1" style="position:absolute;left:0pt;margin-left:142.55pt;margin-top:-310.45pt;height:24pt;width:100pt;z-index:-251654144;mso-width-relative:page;mso-height-relative:page;" fillcolor="#FFFFFF" filled="t" stroked="f" coordsize="21600,21600" o:gfxdata="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bXu1tkAAAANAQAADwAAAAAAAAABACAAAAAi&#10;AAAAZHJzL2Rvd25yZXYueG1sUEsBAhQAFAAAAAgAh07iQBxxlwgJAgAAIAQAAA4AAAAAAAAAAQAg&#10;AAAAKAEAAGRycy9lMm9Eb2MueG1sUEsFBgAAAAAGAAYAWQEAAKMFAAAAAA==&#10;">
                <v:fill on="t" focussize="0,0"/>
                <v:stroke on="f"/>
                <v:imagedata o:title=""/>
                <o:lock v:ext="edit" aspectratio="f"/>
              </v:rect>
            </w:pict>
          </mc:Fallback>
        </mc:AlternateContent>
      </w:r>
      <w:r>
        <w:rPr>
          <w:rFonts w:ascii="Times New Roman"/>
          <w:w w:val="100"/>
        </w:rPr>
        <mc:AlternateContent>
          <mc:Choice Requires="wps">
            <w:drawing>
              <wp:anchor distT="0" distB="0" distL="114300" distR="114300" simplePos="0" relativeHeight="251661312" behindDoc="1" locked="0" layoutInCell="1" allowOverlap="1">
                <wp:simplePos x="0" y="0"/>
                <wp:positionH relativeFrom="column">
                  <wp:posOffset>4413885</wp:posOffset>
                </wp:positionH>
                <wp:positionV relativeFrom="paragraph">
                  <wp:posOffset>-7435215</wp:posOffset>
                </wp:positionV>
                <wp:extent cx="1143000" cy="228600"/>
                <wp:effectExtent l="0" t="0" r="3175" b="0"/>
                <wp:wrapNone/>
                <wp:docPr id="2" name="DT"/>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DT" o:spid="_x0000_s1026" o:spt="1" style="position:absolute;left:0pt;margin-left:347.55pt;margin-top:-585.45pt;height:18pt;width:90pt;z-index:-251655168;mso-width-relative:page;mso-height-relative:page;" fillcolor="#FFFFFF" filled="t" stroked="f" coordsize="21600,21600" o:gfxdata="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JihHaAAAADwEAAA8AAAAAAAAAAQAgAAAA&#10;IgAAAGRycy9kb3ducmV2LnhtbFBLAQIUABQAAAAIAIdO4kBdDl7+CQIAACAEAAAOAAAAAAAAAAEA&#10;IAAAACkBAABkcnMvZTJvRG9jLnhtbFBLBQYAAAAABgAGAFkBAACkBQAAAAA=&#10;">
                <v:fill on="t" focussize="0,0"/>
                <v:stroke on="f"/>
                <v:imagedata o:title=""/>
                <o:lock v:ext="edit" aspectratio="f"/>
              </v:rect>
            </w:pict>
          </mc:Fallback>
        </mc:AlternateContent>
      </w:r>
      <w:r>
        <w:rPr>
          <w:rFonts w:ascii="Times New Roman"/>
          <w:w w:val="100"/>
        </w:rPr>
        <mc:AlternateContent>
          <mc:Choice Requires="wps">
            <w:drawing>
              <wp:anchor distT="0" distB="0" distL="114300" distR="114300" simplePos="0" relativeHeight="251660288" behindDoc="0" locked="0" layoutInCell="1" allowOverlap="1">
                <wp:simplePos x="0" y="0"/>
                <wp:positionH relativeFrom="column">
                  <wp:posOffset>-464820</wp:posOffset>
                </wp:positionH>
                <wp:positionV relativeFrom="paragraph">
                  <wp:posOffset>-7021195</wp:posOffset>
                </wp:positionV>
                <wp:extent cx="6120130" cy="0"/>
                <wp:effectExtent l="13970" t="13970" r="9525" b="5080"/>
                <wp:wrapNone/>
                <wp:docPr id="1" name="Line 11"/>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36.6pt;margin-top:-552.85pt;height:0pt;width:481.9pt;z-index:251660288;mso-width-relative:page;mso-height-relative:page;" filled="f" stroked="t" coordsize="21600,21600" o:gfxdata="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yWRoNgAAAAPAQAADwAAAAAAAAABACAAAAAiAAAAZHJzL2Rv&#10;d25yZXYueG1sUEsBAhQAFAAAAAgAh07iQGl/CrPIAQAAoAMAAA4AAAAAAAAAAQAgAAAAJwEAAGRy&#10;cy9lMm9Eb2MueG1sUEsFBgAAAAAGAAYAWQEAAGEFAAAAAA==&#10;">
                <v:fill on="f" focussize="0,0"/>
                <v:stroke color="#000000" joinstyle="round"/>
                <v:imagedata o:title=""/>
                <o:lock v:ext="edit" aspectratio="f"/>
              </v:line>
            </w:pict>
          </mc:Fallback>
        </mc:AlternateContent>
      </w:r>
      <w:r>
        <w:rPr>
          <w:rFonts w:ascii="Times New Roman"/>
        </w:rPr>
        <w:fldChar w:fldCharType="begin">
          <w:ffData>
            <w:name w:val="fm"/>
            <w:enabled/>
            <w:calcOnExit w:val="0"/>
            <w:textInput/>
          </w:ffData>
        </w:fldChar>
      </w:r>
      <w:r>
        <w:rPr>
          <w:rFonts w:ascii="Times New Roman"/>
        </w:rPr>
        <w:instrText xml:space="preserve"> FORMTEXT </w:instrText>
      </w:r>
      <w:r>
        <w:rPr>
          <w:rFonts w:ascii="Times New Roman"/>
        </w:rPr>
        <w:fldChar w:fldCharType="separate"/>
      </w:r>
      <w:r>
        <w:rPr>
          <w:rFonts w:hint="eastAsia" w:ascii="Times New Roman"/>
          <w:lang w:val="en-US" w:eastAsia="zh-CN"/>
        </w:rPr>
        <w:t>池州市</w:t>
      </w:r>
      <w:r>
        <w:rPr>
          <w:rFonts w:ascii="Times New Roman"/>
        </w:rPr>
        <w:t>质量技术监督局</w:t>
      </w:r>
      <w:r>
        <w:rPr>
          <w:rFonts w:ascii="Times New Roman"/>
        </w:rPr>
        <w:fldChar w:fldCharType="end"/>
      </w:r>
      <w:bookmarkEnd w:id="13"/>
      <w:r>
        <w:rPr>
          <w:rFonts w:ascii="Times New Roman"/>
        </w:rPr>
        <w:t>   </w:t>
      </w:r>
      <w:r>
        <w:rPr>
          <w:rStyle w:val="72"/>
          <w:rFonts w:ascii="Times New Roman"/>
        </w:rPr>
        <w:t>发布</w:t>
      </w:r>
    </w:p>
    <w:p w14:paraId="6D9B1CE7">
      <w:pPr>
        <w:pStyle w:val="23"/>
        <w:rPr>
          <w:rFonts w:ascii="Times New Roman"/>
        </w:rPr>
        <w:sectPr>
          <w:pgSz w:w="11906" w:h="16838"/>
          <w:pgMar w:top="567" w:right="850" w:bottom="1134" w:left="1418" w:header="0" w:footer="0" w:gutter="0"/>
          <w:pgNumType w:start="1"/>
          <w:cols w:space="425" w:num="1"/>
          <w:docGrid w:type="lines" w:linePitch="312" w:charSpace="0"/>
        </w:sectPr>
      </w:pPr>
    </w:p>
    <w:p w14:paraId="24373F1E">
      <w:pPr>
        <w:pStyle w:val="111"/>
        <w:rPr>
          <w:rFonts w:ascii="Times New Roman"/>
        </w:rPr>
      </w:pPr>
      <w:r>
        <w:rPr>
          <w:rFonts w:ascii="Times New Roman"/>
        </w:rPr>
        <w:t>前</w:t>
      </w:r>
      <w:bookmarkStart w:id="14" w:name="BKQY"/>
      <w:r>
        <w:rPr>
          <w:rFonts w:ascii="Times New Roman"/>
        </w:rPr>
        <w:t>  言</w:t>
      </w:r>
      <w:bookmarkEnd w:id="14"/>
    </w:p>
    <w:p w14:paraId="2425AA39">
      <w:pPr>
        <w:pStyle w:val="23"/>
        <w:spacing w:line="420" w:lineRule="exact"/>
        <w:ind w:left="420" w:leftChars="200"/>
        <w:rPr>
          <w:rFonts w:hAnsi="宋体" w:cs="宋体"/>
        </w:rPr>
      </w:pPr>
      <w:r>
        <w:rPr>
          <w:rFonts w:hint="eastAsia" w:hAnsi="宋体" w:cs="宋体"/>
        </w:rPr>
        <w:t>本标准按照</w:t>
      </w:r>
      <w:r>
        <w:rPr>
          <w:rFonts w:hAnsi="宋体" w:cs="宋体"/>
        </w:rPr>
        <w:t xml:space="preserve"> GB/T 1.1—2020 </w:t>
      </w:r>
      <w:r>
        <w:rPr>
          <w:rFonts w:hint="eastAsia" w:hAnsi="宋体" w:cs="宋体"/>
        </w:rPr>
        <w:t>给出的规则编写。</w:t>
      </w:r>
    </w:p>
    <w:p w14:paraId="2326F640">
      <w:pPr>
        <w:pStyle w:val="23"/>
        <w:spacing w:line="420" w:lineRule="exact"/>
        <w:ind w:left="420" w:leftChars="200"/>
        <w:rPr>
          <w:rFonts w:hAnsi="宋体" w:cs="宋体"/>
        </w:rPr>
      </w:pPr>
      <w:r>
        <w:rPr>
          <w:rFonts w:hint="eastAsia" w:hAnsi="宋体" w:cs="宋体"/>
        </w:rPr>
        <w:t>本标准由</w:t>
      </w:r>
      <w:r>
        <w:rPr>
          <w:rFonts w:hint="eastAsia" w:ascii="Times New Roman"/>
        </w:rPr>
        <w:t>池州市农业农村局</w:t>
      </w:r>
      <w:r>
        <w:rPr>
          <w:rFonts w:hint="eastAsia" w:hAnsi="宋体" w:cs="宋体"/>
        </w:rPr>
        <w:t>归口。</w:t>
      </w:r>
    </w:p>
    <w:p w14:paraId="1360F499">
      <w:pPr>
        <w:pStyle w:val="23"/>
        <w:spacing w:line="420" w:lineRule="exact"/>
        <w:ind w:left="420" w:leftChars="200"/>
        <w:rPr>
          <w:rFonts w:hint="eastAsia" w:hAnsi="宋体" w:eastAsia="宋体" w:cs="宋体"/>
          <w:lang w:eastAsia="zh-CN"/>
        </w:rPr>
      </w:pPr>
      <w:r>
        <w:rPr>
          <w:rFonts w:hint="eastAsia" w:hAnsi="宋体" w:cs="宋体"/>
        </w:rPr>
        <w:t>本标准起草单</w:t>
      </w:r>
      <w:r>
        <w:rPr>
          <w:rFonts w:hint="eastAsia" w:ascii="Times New Roman"/>
        </w:rPr>
        <w:t>位：安徽农业大学、池州市农业科学院</w:t>
      </w:r>
      <w:r>
        <w:rPr>
          <w:rFonts w:hint="eastAsia" w:ascii="Times New Roman"/>
          <w:lang w:eastAsia="zh-CN"/>
        </w:rPr>
        <w:t>、</w:t>
      </w:r>
      <w:r>
        <w:rPr>
          <w:rFonts w:hint="eastAsia" w:ascii="Times New Roman"/>
          <w:lang w:val="en-US" w:eastAsia="zh-CN"/>
        </w:rPr>
        <w:t>池州市贵池区农业农村局、</w:t>
      </w:r>
      <w:r>
        <w:rPr>
          <w:rFonts w:hint="eastAsia" w:ascii="Times New Roman"/>
        </w:rPr>
        <w:t>池州市贵池区农业技术推广中心、池州市贵池霄坑村生绿茶叶专业合作社、</w:t>
      </w:r>
      <w:r>
        <w:rPr>
          <w:rFonts w:hint="eastAsia" w:ascii="Times New Roman"/>
          <w:lang w:val="en-US" w:eastAsia="zh-CN"/>
        </w:rPr>
        <w:t>贵池区霄坑村茶叶协会</w:t>
      </w:r>
      <w:r>
        <w:rPr>
          <w:rFonts w:hint="eastAsia" w:hAnsi="宋体" w:cs="宋体"/>
          <w:lang w:eastAsia="zh-CN"/>
        </w:rPr>
        <w:t>。</w:t>
      </w:r>
    </w:p>
    <w:p w14:paraId="5CD20954">
      <w:pPr>
        <w:pStyle w:val="23"/>
        <w:ind w:firstLine="840" w:firstLineChars="400"/>
        <w:rPr>
          <w:rFonts w:hint="default" w:ascii="Times New Roman"/>
          <w:lang w:val="en-US"/>
        </w:rPr>
      </w:pPr>
      <w:r>
        <w:rPr>
          <w:rFonts w:hint="eastAsia" w:hAnsi="宋体" w:cs="宋体"/>
        </w:rPr>
        <w:t>本标准主要起草人：</w:t>
      </w:r>
      <w:r>
        <w:rPr>
          <w:rFonts w:hint="eastAsia" w:ascii="Times New Roman"/>
          <w:lang w:val="en-US" w:eastAsia="zh-CN"/>
        </w:rPr>
        <w:t>戴前颖、吴满霞、雷元胜、王建伟、梁琳琳、陈颖琦、吴雄、何顺明、蒋春信、陈新友、甘诗雅、祝必武。</w:t>
      </w:r>
    </w:p>
    <w:p w14:paraId="376DA7A2">
      <w:pPr>
        <w:pStyle w:val="23"/>
        <w:rPr>
          <w:rFonts w:hint="default" w:ascii="Times New Roman"/>
          <w:lang w:val="en-US" w:eastAsia="zh-CN"/>
        </w:rPr>
      </w:pPr>
    </w:p>
    <w:p w14:paraId="6E1D1287">
      <w:pPr>
        <w:pStyle w:val="49"/>
        <w:rPr>
          <w:rFonts w:ascii="Times New Roman"/>
        </w:rPr>
      </w:pPr>
      <w:bookmarkStart w:id="15" w:name="StandardName"/>
      <w:r>
        <w:rPr>
          <w:rFonts w:hint="eastAsia" w:ascii="Times New Roman"/>
        </w:rPr>
        <w:t>霄坑绿茶机械化</w:t>
      </w:r>
      <w:r>
        <w:rPr>
          <w:rFonts w:ascii="Times New Roman"/>
        </w:rPr>
        <w:t>加工技术规程</w:t>
      </w:r>
      <w:bookmarkEnd w:id="15"/>
    </w:p>
    <w:p w14:paraId="0D219CA4">
      <w:pPr>
        <w:pStyle w:val="44"/>
        <w:spacing w:before="312" w:after="312"/>
        <w:rPr>
          <w:rFonts w:hint="eastAsia" w:ascii="Times New Roman" w:hAnsi="Times New Roman" w:eastAsia="宋体" w:cs="Times New Roman"/>
          <w:sz w:val="21"/>
          <w:lang w:val="en-US" w:eastAsia="zh-CN" w:bidi="ar-SA"/>
        </w:rPr>
      </w:pPr>
      <w:r>
        <w:rPr>
          <w:rFonts w:ascii="Times New Roman"/>
        </w:rPr>
        <w:t>范围</w:t>
      </w:r>
    </w:p>
    <w:p w14:paraId="0EB3D203">
      <w:pPr>
        <w:pStyle w:val="44"/>
        <w:numPr>
          <w:ilvl w:val="0"/>
          <w:numId w:val="0"/>
        </w:numPr>
        <w:spacing w:before="312" w:after="312"/>
        <w:ind w:leftChars="0" w:firstLine="420" w:firstLineChars="200"/>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t>本标准规定了霄坑绿茶的术语和定义、 产地、原料（鲜叶）、加工基本要求、基本工艺流程、加工技术要求、成品茶质量管理。</w:t>
      </w:r>
    </w:p>
    <w:p w14:paraId="0ECBE7BC">
      <w:pPr>
        <w:pStyle w:val="44"/>
        <w:numPr>
          <w:ilvl w:val="0"/>
          <w:numId w:val="0"/>
        </w:numPr>
        <w:spacing w:before="312" w:after="312"/>
        <w:ind w:leftChars="0" w:firstLine="420" w:firstLineChars="200"/>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t>本标准适用于霄坑绿茶的生产和加工。</w:t>
      </w:r>
    </w:p>
    <w:p w14:paraId="0873A818">
      <w:pPr>
        <w:pStyle w:val="44"/>
        <w:spacing w:before="312" w:after="312"/>
        <w:rPr>
          <w:rFonts w:ascii="Times New Roman"/>
        </w:rPr>
      </w:pPr>
      <w:r>
        <w:rPr>
          <w:rFonts w:ascii="Times New Roman"/>
        </w:rPr>
        <w:t>规范性引用文件</w:t>
      </w:r>
    </w:p>
    <w:p w14:paraId="01117E3B">
      <w:pPr>
        <w:pStyle w:val="23"/>
        <w:rPr>
          <w:rFonts w:ascii="Times New Roman"/>
        </w:rPr>
      </w:pPr>
      <w:r>
        <w:rPr>
          <w:rFonts w:ascii="Times New Roman"/>
        </w:rPr>
        <w:t>下列文件对于本文件的应用是必不可少的。凡是注日期的引用文件，仅所注日期的版本适用于本文件。凡是不注日期的引用文件，其最新版本（包括所有的修改单）适用于本文件。</w:t>
      </w:r>
    </w:p>
    <w:p w14:paraId="3890B837">
      <w:pPr>
        <w:pStyle w:val="23"/>
        <w:rPr>
          <w:rFonts w:ascii="Times New Roman"/>
        </w:rPr>
      </w:pPr>
      <w:r>
        <w:rPr>
          <w:rFonts w:ascii="Times New Roman"/>
        </w:rPr>
        <w:t>GB 14881   食品安全国家标准 食品生产通用卫生规范</w:t>
      </w:r>
    </w:p>
    <w:p w14:paraId="020977DB">
      <w:pPr>
        <w:pStyle w:val="23"/>
        <w:rPr>
          <w:rFonts w:ascii="Times New Roman"/>
        </w:rPr>
      </w:pPr>
      <w:r>
        <w:rPr>
          <w:rFonts w:hint="eastAsia" w:ascii="Times New Roman"/>
        </w:rPr>
        <w:t>GB 22747   食品加工机械 基本概念 卫生要求</w:t>
      </w:r>
    </w:p>
    <w:p w14:paraId="4CFFC64C">
      <w:pPr>
        <w:pStyle w:val="23"/>
        <w:rPr>
          <w:rFonts w:ascii="Times New Roman"/>
        </w:rPr>
      </w:pPr>
      <w:r>
        <w:rPr>
          <w:rFonts w:ascii="Times New Roman"/>
        </w:rPr>
        <w:t>GH/T 1077  茶叶加工技术规程</w:t>
      </w:r>
    </w:p>
    <w:p w14:paraId="173BD05C">
      <w:pPr>
        <w:pStyle w:val="23"/>
        <w:rPr>
          <w:rFonts w:ascii="Times New Roman"/>
        </w:rPr>
      </w:pPr>
      <w:r>
        <w:rPr>
          <w:rFonts w:ascii="Times New Roman"/>
        </w:rPr>
        <w:t xml:space="preserve">GB/T </w:t>
      </w:r>
      <w:r>
        <w:rPr>
          <w:rFonts w:hint="eastAsia" w:ascii="Times New Roman"/>
        </w:rPr>
        <w:t>14456</w:t>
      </w:r>
      <w:r>
        <w:rPr>
          <w:rFonts w:ascii="Times New Roman"/>
        </w:rPr>
        <w:t xml:space="preserve">  </w:t>
      </w:r>
      <w:r>
        <w:rPr>
          <w:rFonts w:hint="eastAsia" w:ascii="Times New Roman"/>
        </w:rPr>
        <w:t>绿茶</w:t>
      </w:r>
    </w:p>
    <w:p w14:paraId="2B55C5A0">
      <w:pPr>
        <w:pStyle w:val="23"/>
        <w:rPr>
          <w:rFonts w:ascii="Times New Roman"/>
          <w:szCs w:val="21"/>
        </w:rPr>
      </w:pPr>
      <w:r>
        <w:rPr>
          <w:rFonts w:hint="eastAsia" w:ascii="Times New Roman"/>
          <w:szCs w:val="21"/>
        </w:rPr>
        <w:t>GB/T</w:t>
      </w:r>
      <w:r>
        <w:rPr>
          <w:rFonts w:hint="eastAsia" w:ascii="Times New Roman"/>
        </w:rPr>
        <w:t xml:space="preserve"> </w:t>
      </w:r>
      <w:r>
        <w:rPr>
          <w:rFonts w:hint="eastAsia" w:ascii="Times New Roman"/>
          <w:szCs w:val="21"/>
        </w:rPr>
        <w:t xml:space="preserve">31748 </w:t>
      </w:r>
      <w:r>
        <w:rPr>
          <w:rFonts w:ascii="Times New Roman"/>
          <w:szCs w:val="21"/>
        </w:rPr>
        <w:t xml:space="preserve"> </w:t>
      </w:r>
      <w:r>
        <w:rPr>
          <w:rFonts w:hint="eastAsia" w:ascii="Times New Roman"/>
          <w:szCs w:val="21"/>
        </w:rPr>
        <w:t>茶鲜叶处理要求</w:t>
      </w:r>
    </w:p>
    <w:p w14:paraId="75445344">
      <w:pPr>
        <w:pStyle w:val="23"/>
        <w:rPr>
          <w:rFonts w:ascii="Times New Roman"/>
        </w:rPr>
      </w:pPr>
      <w:r>
        <w:rPr>
          <w:rFonts w:hint="eastAsia" w:ascii="Times New Roman"/>
        </w:rPr>
        <w:t xml:space="preserve">GB/Z 26576 </w:t>
      </w:r>
      <w:r>
        <w:rPr>
          <w:rFonts w:ascii="Times New Roman"/>
        </w:rPr>
        <w:t xml:space="preserve"> </w:t>
      </w:r>
      <w:r>
        <w:rPr>
          <w:rFonts w:hint="eastAsia" w:ascii="Times New Roman"/>
        </w:rPr>
        <w:t>茶叶生产技术规程</w:t>
      </w:r>
    </w:p>
    <w:p w14:paraId="38C966ED">
      <w:pPr>
        <w:pStyle w:val="23"/>
        <w:rPr>
          <w:rFonts w:ascii="Times New Roman"/>
        </w:rPr>
      </w:pPr>
      <w:r>
        <w:rPr>
          <w:rFonts w:ascii="Times New Roman"/>
        </w:rPr>
        <w:t>NY/T 2798.6  无公害农产品 生产质量安全控制技术规范 第6部分：茶叶</w:t>
      </w:r>
    </w:p>
    <w:p w14:paraId="5C09A367">
      <w:pPr>
        <w:pStyle w:val="44"/>
        <w:spacing w:before="312" w:after="312"/>
        <w:rPr>
          <w:rFonts w:ascii="Times New Roman"/>
        </w:rPr>
      </w:pPr>
      <w:r>
        <w:rPr>
          <w:rFonts w:ascii="Times New Roman"/>
        </w:rPr>
        <w:t>术语和定义</w:t>
      </w:r>
    </w:p>
    <w:p w14:paraId="26965FF1">
      <w:pPr>
        <w:pStyle w:val="23"/>
        <w:rPr>
          <w:rFonts w:ascii="Times New Roman"/>
        </w:rPr>
      </w:pPr>
      <w:r>
        <w:rPr>
          <w:rFonts w:hint="eastAsia" w:ascii="Times New Roman"/>
        </w:rPr>
        <w:t>下列</w:t>
      </w:r>
      <w:r>
        <w:rPr>
          <w:rFonts w:ascii="Times New Roman"/>
        </w:rPr>
        <w:t>术语和定义适用于本标准。</w:t>
      </w:r>
    </w:p>
    <w:p w14:paraId="0D7EE3F1">
      <w:pPr>
        <w:pStyle w:val="41"/>
        <w:spacing w:before="156" w:after="156"/>
        <w:ind w:left="2"/>
        <w:rPr>
          <w:rFonts w:ascii="Times New Roman"/>
        </w:rPr>
      </w:pPr>
    </w:p>
    <w:p w14:paraId="671CA782">
      <w:pPr>
        <w:pStyle w:val="41"/>
        <w:numPr>
          <w:ilvl w:val="0"/>
          <w:numId w:val="0"/>
        </w:numPr>
        <w:spacing w:before="156" w:after="156"/>
        <w:ind w:firstLine="420" w:firstLineChars="200"/>
        <w:rPr>
          <w:rFonts w:ascii="Times New Roman"/>
        </w:rPr>
      </w:pPr>
      <w:r>
        <w:rPr>
          <w:rFonts w:hint="eastAsia" w:ascii="Times New Roman"/>
        </w:rPr>
        <w:t>产地 region</w:t>
      </w:r>
    </w:p>
    <w:p w14:paraId="5FAD3517">
      <w:pPr>
        <w:widowControl/>
        <w:wordWrap w:val="0"/>
        <w:spacing w:line="480" w:lineRule="atLeast"/>
        <w:ind w:firstLine="480"/>
      </w:pPr>
      <w:r>
        <w:rPr>
          <w:rFonts w:hint="eastAsia"/>
        </w:rPr>
        <w:t>霄坑绿茶农产品地理标志地域保护范围包括池州市贵池区梅村镇霄坑村全村12个村民组及棠溪镇西山村高塘村民组茶园，东经117°28′51″～117°34′46″，北纬30°19′02″～30°22′47″。面积320公顷，年产量100吨。</w:t>
      </w:r>
    </w:p>
    <w:p w14:paraId="56B0208E">
      <w:pPr>
        <w:pStyle w:val="41"/>
        <w:spacing w:before="156" w:after="156"/>
        <w:ind w:left="2"/>
        <w:rPr>
          <w:rFonts w:ascii="Times New Roman"/>
        </w:rPr>
      </w:pPr>
    </w:p>
    <w:p w14:paraId="7E271951">
      <w:pPr>
        <w:pStyle w:val="41"/>
        <w:numPr>
          <w:ilvl w:val="0"/>
          <w:numId w:val="0"/>
        </w:numPr>
        <w:spacing w:before="156" w:after="156"/>
        <w:ind w:firstLine="420" w:firstLineChars="200"/>
        <w:rPr>
          <w:rFonts w:ascii="Times New Roman"/>
        </w:rPr>
      </w:pPr>
      <w:r>
        <w:rPr>
          <w:rFonts w:hint="eastAsia" w:ascii="Times New Roman"/>
        </w:rPr>
        <w:t xml:space="preserve">霄坑绿茶 </w:t>
      </w:r>
      <w:r>
        <w:rPr>
          <w:rFonts w:ascii="Times New Roman"/>
        </w:rPr>
        <w:t>X</w:t>
      </w:r>
      <w:r>
        <w:rPr>
          <w:rFonts w:hint="eastAsia" w:ascii="Times New Roman"/>
        </w:rPr>
        <w:t>iaokeng</w:t>
      </w:r>
      <w:r>
        <w:rPr>
          <w:rFonts w:ascii="Times New Roman"/>
        </w:rPr>
        <w:t xml:space="preserve"> green tea</w:t>
      </w:r>
    </w:p>
    <w:p w14:paraId="340D9178">
      <w:pPr>
        <w:pStyle w:val="8"/>
        <w:ind w:firstLine="420" w:firstLineChars="200"/>
      </w:pPr>
      <w:r>
        <w:rPr>
          <w:rFonts w:hint="eastAsia"/>
        </w:rPr>
        <w:t>采用3.1产地规定范围内的茶树嫩梢，经“</w:t>
      </w:r>
      <w:r>
        <w:rPr>
          <w:rFonts w:hint="eastAsia" w:hAnsi="宋体"/>
        </w:rPr>
        <w:t>摊青→</w:t>
      </w:r>
      <w:r>
        <w:rPr>
          <w:rFonts w:hint="eastAsia"/>
        </w:rPr>
        <w:t>杀青</w:t>
      </w:r>
      <w:r>
        <w:rPr>
          <w:rFonts w:hint="eastAsia" w:hAnsi="宋体"/>
        </w:rPr>
        <w:t>→</w:t>
      </w:r>
      <w:r>
        <w:rPr>
          <w:rFonts w:hint="eastAsia"/>
        </w:rPr>
        <w:t>揉捻</w:t>
      </w:r>
      <w:r>
        <w:rPr>
          <w:rFonts w:hint="eastAsia" w:hAnsi="宋体"/>
        </w:rPr>
        <w:t>→</w:t>
      </w:r>
      <w:r>
        <w:rPr>
          <w:rFonts w:hint="eastAsia"/>
        </w:rPr>
        <w:t>解块</w:t>
      </w:r>
      <w:r>
        <w:rPr>
          <w:rFonts w:hint="eastAsia" w:hAnsi="宋体"/>
        </w:rPr>
        <w:t>→</w:t>
      </w:r>
      <w:r>
        <w:rPr>
          <w:rFonts w:hint="eastAsia"/>
        </w:rPr>
        <w:t>初烘</w:t>
      </w:r>
      <w:r>
        <w:rPr>
          <w:rFonts w:hint="eastAsia" w:hAnsi="宋体"/>
        </w:rPr>
        <w:t>→</w:t>
      </w:r>
      <w:r>
        <w:rPr>
          <w:rFonts w:hint="eastAsia"/>
        </w:rPr>
        <w:t>复烘</w:t>
      </w:r>
      <w:r>
        <w:rPr>
          <w:rFonts w:hint="eastAsia" w:hAnsi="宋体"/>
        </w:rPr>
        <w:t>→</w:t>
      </w:r>
      <w:r>
        <w:rPr>
          <w:rFonts w:hint="eastAsia"/>
        </w:rPr>
        <w:t>变温提香”等工艺制成的重揉捻、紧条形绿茶，并符合</w:t>
      </w:r>
      <w:r>
        <w:t xml:space="preserve">GB/T </w:t>
      </w:r>
      <w:r>
        <w:rPr>
          <w:rFonts w:hint="eastAsia"/>
        </w:rPr>
        <w:t>14456的要求。</w:t>
      </w:r>
    </w:p>
    <w:p w14:paraId="2486C852">
      <w:pPr>
        <w:pStyle w:val="62"/>
        <w:numPr>
          <w:ilvl w:val="0"/>
          <w:numId w:val="0"/>
        </w:numPr>
        <w:ind w:firstLine="420" w:firstLineChars="200"/>
        <w:rPr>
          <w:rFonts w:ascii="Times New Roman"/>
        </w:rPr>
      </w:pPr>
    </w:p>
    <w:p w14:paraId="6FA729DD">
      <w:pPr>
        <w:pStyle w:val="44"/>
        <w:spacing w:before="312" w:after="312"/>
        <w:rPr>
          <w:rFonts w:ascii="Times New Roman"/>
        </w:rPr>
      </w:pPr>
      <w:r>
        <w:rPr>
          <w:rFonts w:hint="eastAsia" w:ascii="Times New Roman"/>
        </w:rPr>
        <w:t>加工基本</w:t>
      </w:r>
      <w:r>
        <w:rPr>
          <w:rFonts w:ascii="Times New Roman"/>
        </w:rPr>
        <w:t>要求</w:t>
      </w:r>
    </w:p>
    <w:p w14:paraId="09D08183">
      <w:pPr>
        <w:pStyle w:val="41"/>
        <w:spacing w:before="156" w:after="156"/>
        <w:ind w:left="2"/>
        <w:rPr>
          <w:rFonts w:ascii="Times New Roman"/>
        </w:rPr>
      </w:pPr>
      <w:r>
        <w:rPr>
          <w:rFonts w:ascii="Times New Roman"/>
        </w:rPr>
        <w:t>原料</w:t>
      </w:r>
    </w:p>
    <w:p w14:paraId="595D9253">
      <w:pPr>
        <w:pStyle w:val="62"/>
        <w:ind w:left="2"/>
        <w:rPr>
          <w:rFonts w:ascii="Times New Roman"/>
        </w:rPr>
      </w:pPr>
      <w:r>
        <w:rPr>
          <w:rFonts w:hint="eastAsia" w:ascii="Times New Roman"/>
        </w:rPr>
        <w:t>鲜叶应来源于</w:t>
      </w:r>
      <w:r>
        <w:rPr>
          <w:rFonts w:ascii="Times New Roman"/>
        </w:rPr>
        <w:t>符合NY/T 2798.6</w:t>
      </w:r>
      <w:r>
        <w:rPr>
          <w:rFonts w:hint="eastAsia" w:ascii="Times New Roman"/>
        </w:rPr>
        <w:t>和</w:t>
      </w:r>
      <w:r>
        <w:rPr>
          <w:rFonts w:hint="eastAsia" w:ascii="Times New Roman"/>
          <w:szCs w:val="20"/>
        </w:rPr>
        <w:t>GB</w:t>
      </w:r>
      <w:r>
        <w:rPr>
          <w:rFonts w:hint="eastAsia" w:ascii="Times New Roman"/>
        </w:rPr>
        <w:t>/</w:t>
      </w:r>
      <w:r>
        <w:rPr>
          <w:rFonts w:hint="eastAsia" w:ascii="Times New Roman"/>
          <w:szCs w:val="20"/>
        </w:rPr>
        <w:t>Z</w:t>
      </w:r>
      <w:r>
        <w:rPr>
          <w:rFonts w:hint="eastAsia" w:ascii="Times New Roman"/>
        </w:rPr>
        <w:t xml:space="preserve"> </w:t>
      </w:r>
      <w:r>
        <w:rPr>
          <w:rFonts w:hint="eastAsia" w:ascii="Times New Roman"/>
          <w:szCs w:val="20"/>
        </w:rPr>
        <w:t>26576</w:t>
      </w:r>
      <w:r>
        <w:rPr>
          <w:rFonts w:hint="eastAsia" w:ascii="Times New Roman"/>
        </w:rPr>
        <w:t>规范管理的茶园，并按GB/T 31748进行处理。</w:t>
      </w:r>
    </w:p>
    <w:p w14:paraId="16DF2755">
      <w:pPr>
        <w:pStyle w:val="62"/>
        <w:ind w:left="2"/>
        <w:rPr>
          <w:rFonts w:ascii="Times New Roman"/>
        </w:rPr>
      </w:pPr>
      <w:r>
        <w:rPr>
          <w:rFonts w:hint="eastAsia" w:ascii="Times New Roman"/>
        </w:rPr>
        <w:t>鲜叶原料应符合表1 的规定。</w:t>
      </w:r>
    </w:p>
    <w:p w14:paraId="63C158E1">
      <w:pPr>
        <w:pStyle w:val="62"/>
        <w:numPr>
          <w:ilvl w:val="0"/>
          <w:numId w:val="0"/>
        </w:numPr>
        <w:ind w:left="2"/>
        <w:rPr>
          <w:rFonts w:ascii="Times New Roman"/>
        </w:rPr>
      </w:pPr>
    </w:p>
    <w:p w14:paraId="35FFACAD">
      <w:pPr>
        <w:pStyle w:val="62"/>
        <w:numPr>
          <w:ilvl w:val="0"/>
          <w:numId w:val="0"/>
        </w:numPr>
        <w:jc w:val="center"/>
        <w:rPr>
          <w:rFonts w:ascii="Times New Roman"/>
          <w:bCs/>
        </w:rPr>
      </w:pPr>
      <w:r>
        <w:rPr>
          <w:rFonts w:hint="eastAsia" w:ascii="Times New Roman"/>
          <w:bCs/>
        </w:rPr>
        <w:t>表1 霄坑绿茶 鲜叶要求</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1"/>
        <w:gridCol w:w="2409"/>
        <w:gridCol w:w="2342"/>
        <w:gridCol w:w="2479"/>
      </w:tblGrid>
      <w:tr w14:paraId="0195F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Pr>
          <w:p w14:paraId="732E3808">
            <w:pPr>
              <w:pStyle w:val="62"/>
              <w:numPr>
                <w:ilvl w:val="0"/>
                <w:numId w:val="0"/>
              </w:numPr>
              <w:jc w:val="center"/>
              <w:rPr>
                <w:rFonts w:ascii="Times New Roman"/>
                <w:bCs/>
              </w:rPr>
            </w:pPr>
            <w:r>
              <w:rPr>
                <w:rFonts w:hint="eastAsia" w:ascii="Times New Roman"/>
                <w:bCs/>
              </w:rPr>
              <w:t>采收时间</w:t>
            </w:r>
          </w:p>
        </w:tc>
        <w:tc>
          <w:tcPr>
            <w:tcW w:w="2409" w:type="dxa"/>
          </w:tcPr>
          <w:p w14:paraId="53354B54">
            <w:pPr>
              <w:pStyle w:val="62"/>
              <w:numPr>
                <w:ilvl w:val="0"/>
                <w:numId w:val="0"/>
              </w:numPr>
              <w:jc w:val="center"/>
              <w:rPr>
                <w:rFonts w:ascii="Times New Roman"/>
                <w:bCs/>
              </w:rPr>
            </w:pPr>
            <w:r>
              <w:rPr>
                <w:rFonts w:hint="eastAsia" w:ascii="Times New Roman"/>
                <w:bCs/>
              </w:rPr>
              <w:t>春茶早期</w:t>
            </w:r>
          </w:p>
        </w:tc>
        <w:tc>
          <w:tcPr>
            <w:tcW w:w="2342" w:type="dxa"/>
          </w:tcPr>
          <w:p w14:paraId="1AD9CDF7">
            <w:pPr>
              <w:pStyle w:val="62"/>
              <w:numPr>
                <w:ilvl w:val="0"/>
                <w:numId w:val="0"/>
              </w:numPr>
              <w:jc w:val="center"/>
              <w:rPr>
                <w:rFonts w:ascii="Times New Roman"/>
                <w:bCs/>
              </w:rPr>
            </w:pPr>
            <w:r>
              <w:rPr>
                <w:rFonts w:hint="eastAsia" w:ascii="Times New Roman"/>
                <w:bCs/>
              </w:rPr>
              <w:t>春茶中期</w:t>
            </w:r>
          </w:p>
        </w:tc>
        <w:tc>
          <w:tcPr>
            <w:tcW w:w="2477" w:type="dxa"/>
          </w:tcPr>
          <w:p w14:paraId="7DFBFC71">
            <w:pPr>
              <w:pStyle w:val="62"/>
              <w:numPr>
                <w:ilvl w:val="0"/>
                <w:numId w:val="0"/>
              </w:numPr>
              <w:jc w:val="center"/>
              <w:rPr>
                <w:rFonts w:ascii="Times New Roman"/>
                <w:bCs/>
              </w:rPr>
            </w:pPr>
            <w:r>
              <w:rPr>
                <w:rFonts w:hint="eastAsia" w:ascii="Times New Roman"/>
                <w:bCs/>
              </w:rPr>
              <w:t>春茶后期和夏秋茶</w:t>
            </w:r>
          </w:p>
        </w:tc>
      </w:tr>
      <w:tr w14:paraId="4F4E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Pr>
          <w:p w14:paraId="4C406EDD">
            <w:pPr>
              <w:pStyle w:val="62"/>
              <w:numPr>
                <w:ilvl w:val="0"/>
                <w:numId w:val="0"/>
              </w:numPr>
              <w:jc w:val="center"/>
              <w:rPr>
                <w:rFonts w:ascii="Times New Roman"/>
                <w:b/>
              </w:rPr>
            </w:pPr>
            <w:r>
              <w:rPr>
                <w:rFonts w:hint="eastAsia" w:ascii="Times New Roman"/>
                <w:sz w:val="18"/>
                <w:szCs w:val="18"/>
              </w:rPr>
              <w:t xml:space="preserve">嫩 </w:t>
            </w:r>
            <w:r>
              <w:rPr>
                <w:rFonts w:ascii="Times New Roman"/>
                <w:sz w:val="18"/>
                <w:szCs w:val="18"/>
              </w:rPr>
              <w:t xml:space="preserve"> </w:t>
            </w:r>
            <w:r>
              <w:rPr>
                <w:rFonts w:hint="eastAsia" w:ascii="Times New Roman"/>
                <w:sz w:val="18"/>
                <w:szCs w:val="18"/>
              </w:rPr>
              <w:t>度</w:t>
            </w:r>
          </w:p>
        </w:tc>
        <w:tc>
          <w:tcPr>
            <w:tcW w:w="2409" w:type="dxa"/>
          </w:tcPr>
          <w:p w14:paraId="61B9F718">
            <w:pPr>
              <w:pStyle w:val="62"/>
              <w:numPr>
                <w:ilvl w:val="0"/>
                <w:numId w:val="0"/>
              </w:numPr>
              <w:jc w:val="center"/>
              <w:rPr>
                <w:rFonts w:ascii="Times New Roman"/>
                <w:b/>
              </w:rPr>
            </w:pPr>
            <w:r>
              <w:rPr>
                <w:rFonts w:hint="eastAsia" w:ascii="Times New Roman"/>
                <w:sz w:val="18"/>
                <w:szCs w:val="18"/>
              </w:rPr>
              <w:t>一芽二叶初展为主</w:t>
            </w:r>
          </w:p>
        </w:tc>
        <w:tc>
          <w:tcPr>
            <w:tcW w:w="2342" w:type="dxa"/>
          </w:tcPr>
          <w:p w14:paraId="057BE585">
            <w:pPr>
              <w:pStyle w:val="62"/>
              <w:numPr>
                <w:ilvl w:val="0"/>
                <w:numId w:val="0"/>
              </w:numPr>
              <w:jc w:val="center"/>
              <w:rPr>
                <w:rFonts w:ascii="Times New Roman"/>
                <w:b/>
              </w:rPr>
            </w:pPr>
            <w:r>
              <w:rPr>
                <w:rFonts w:hint="eastAsia" w:ascii="Times New Roman"/>
                <w:sz w:val="18"/>
                <w:szCs w:val="18"/>
              </w:rPr>
              <w:t>一芽二叶为主</w:t>
            </w:r>
          </w:p>
        </w:tc>
        <w:tc>
          <w:tcPr>
            <w:tcW w:w="2477" w:type="dxa"/>
          </w:tcPr>
          <w:p w14:paraId="52707FCD">
            <w:pPr>
              <w:pStyle w:val="62"/>
              <w:numPr>
                <w:ilvl w:val="0"/>
                <w:numId w:val="0"/>
              </w:numPr>
              <w:jc w:val="center"/>
              <w:rPr>
                <w:rFonts w:ascii="Times New Roman"/>
                <w:b/>
              </w:rPr>
            </w:pPr>
            <w:r>
              <w:rPr>
                <w:rFonts w:hint="eastAsia" w:ascii="Times New Roman"/>
                <w:sz w:val="18"/>
                <w:szCs w:val="18"/>
              </w:rPr>
              <w:t>一芽二、三叶为主</w:t>
            </w:r>
          </w:p>
        </w:tc>
      </w:tr>
      <w:tr w14:paraId="4B4D3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1601" w:type="dxa"/>
          </w:tcPr>
          <w:p w14:paraId="18CB994C">
            <w:pPr>
              <w:pStyle w:val="62"/>
              <w:numPr>
                <w:ilvl w:val="0"/>
                <w:numId w:val="0"/>
              </w:numPr>
              <w:jc w:val="center"/>
              <w:rPr>
                <w:rFonts w:ascii="Times New Roman"/>
                <w:b/>
              </w:rPr>
            </w:pPr>
            <w:r>
              <w:rPr>
                <w:rFonts w:hint="eastAsia" w:ascii="Times New Roman"/>
                <w:sz w:val="18"/>
                <w:szCs w:val="18"/>
              </w:rPr>
              <w:t xml:space="preserve">匀 </w:t>
            </w:r>
            <w:r>
              <w:rPr>
                <w:rFonts w:ascii="Times New Roman"/>
                <w:sz w:val="18"/>
                <w:szCs w:val="18"/>
              </w:rPr>
              <w:t xml:space="preserve"> </w:t>
            </w:r>
            <w:r>
              <w:rPr>
                <w:rFonts w:hint="eastAsia" w:ascii="Times New Roman"/>
                <w:sz w:val="18"/>
                <w:szCs w:val="18"/>
              </w:rPr>
              <w:t>度</w:t>
            </w:r>
          </w:p>
        </w:tc>
        <w:tc>
          <w:tcPr>
            <w:tcW w:w="2409" w:type="dxa"/>
          </w:tcPr>
          <w:p w14:paraId="3E099531">
            <w:pPr>
              <w:pStyle w:val="62"/>
              <w:numPr>
                <w:ilvl w:val="0"/>
                <w:numId w:val="0"/>
              </w:numPr>
              <w:jc w:val="center"/>
              <w:rPr>
                <w:rFonts w:ascii="Times New Roman"/>
                <w:sz w:val="18"/>
                <w:szCs w:val="18"/>
              </w:rPr>
            </w:pPr>
            <w:r>
              <w:rPr>
                <w:rFonts w:hint="eastAsia" w:ascii="Times New Roman"/>
                <w:sz w:val="18"/>
                <w:szCs w:val="18"/>
              </w:rPr>
              <w:t>一芽二叶初展≥</w:t>
            </w:r>
            <w:r>
              <w:rPr>
                <w:rFonts w:ascii="Times New Roman"/>
                <w:sz w:val="18"/>
                <w:szCs w:val="18"/>
              </w:rPr>
              <w:t>7</w:t>
            </w:r>
            <w:r>
              <w:rPr>
                <w:rFonts w:hint="eastAsia" w:ascii="Times New Roman"/>
                <w:sz w:val="18"/>
                <w:szCs w:val="18"/>
              </w:rPr>
              <w:t>0%，</w:t>
            </w:r>
          </w:p>
          <w:p w14:paraId="10323B33">
            <w:pPr>
              <w:pStyle w:val="62"/>
              <w:numPr>
                <w:ilvl w:val="0"/>
                <w:numId w:val="0"/>
              </w:numPr>
              <w:jc w:val="center"/>
              <w:rPr>
                <w:rFonts w:ascii="Times New Roman"/>
                <w:b/>
              </w:rPr>
            </w:pPr>
            <w:r>
              <w:rPr>
                <w:rFonts w:hint="eastAsia" w:ascii="Times New Roman"/>
                <w:sz w:val="18"/>
                <w:szCs w:val="18"/>
              </w:rPr>
              <w:t>一芽二叶≤</w:t>
            </w:r>
            <w:r>
              <w:rPr>
                <w:rFonts w:ascii="Times New Roman"/>
                <w:sz w:val="18"/>
                <w:szCs w:val="18"/>
              </w:rPr>
              <w:t>3</w:t>
            </w:r>
            <w:r>
              <w:rPr>
                <w:rFonts w:hint="eastAsia" w:ascii="Times New Roman"/>
                <w:sz w:val="18"/>
                <w:szCs w:val="18"/>
              </w:rPr>
              <w:t>0%</w:t>
            </w:r>
          </w:p>
        </w:tc>
        <w:tc>
          <w:tcPr>
            <w:tcW w:w="2342" w:type="dxa"/>
          </w:tcPr>
          <w:p w14:paraId="33471A28">
            <w:pPr>
              <w:pStyle w:val="62"/>
              <w:numPr>
                <w:ilvl w:val="0"/>
                <w:numId w:val="0"/>
              </w:numPr>
              <w:jc w:val="center"/>
              <w:rPr>
                <w:rFonts w:ascii="Times New Roman"/>
                <w:b/>
              </w:rPr>
            </w:pPr>
            <w:r>
              <w:rPr>
                <w:rFonts w:hint="eastAsia" w:ascii="Times New Roman"/>
                <w:sz w:val="18"/>
                <w:szCs w:val="18"/>
              </w:rPr>
              <w:t>一芽二叶初展≥50%，芽二叶≤50%</w:t>
            </w:r>
          </w:p>
        </w:tc>
        <w:tc>
          <w:tcPr>
            <w:tcW w:w="2477" w:type="dxa"/>
          </w:tcPr>
          <w:p w14:paraId="0D787A91">
            <w:pPr>
              <w:pStyle w:val="62"/>
              <w:numPr>
                <w:ilvl w:val="0"/>
                <w:numId w:val="0"/>
              </w:numPr>
              <w:jc w:val="center"/>
              <w:rPr>
                <w:rFonts w:ascii="Times New Roman"/>
                <w:sz w:val="18"/>
                <w:szCs w:val="18"/>
              </w:rPr>
            </w:pPr>
            <w:r>
              <w:rPr>
                <w:rFonts w:hint="eastAsia" w:ascii="Times New Roman"/>
                <w:sz w:val="18"/>
                <w:szCs w:val="18"/>
              </w:rPr>
              <w:t>一芽二叶≥60%，</w:t>
            </w:r>
          </w:p>
          <w:p w14:paraId="6C5D75D2">
            <w:pPr>
              <w:pStyle w:val="62"/>
              <w:numPr>
                <w:ilvl w:val="0"/>
                <w:numId w:val="0"/>
              </w:numPr>
              <w:jc w:val="center"/>
              <w:rPr>
                <w:rFonts w:ascii="Times New Roman"/>
                <w:b/>
              </w:rPr>
            </w:pPr>
            <w:r>
              <w:rPr>
                <w:rFonts w:hint="eastAsia" w:ascii="Times New Roman"/>
                <w:sz w:val="18"/>
                <w:szCs w:val="18"/>
              </w:rPr>
              <w:t>一芽三叶、对夹叶≤</w:t>
            </w:r>
            <w:r>
              <w:rPr>
                <w:rFonts w:ascii="Times New Roman"/>
                <w:sz w:val="18"/>
                <w:szCs w:val="18"/>
              </w:rPr>
              <w:t>4</w:t>
            </w:r>
            <w:r>
              <w:rPr>
                <w:rFonts w:hint="eastAsia" w:ascii="Times New Roman"/>
                <w:sz w:val="18"/>
                <w:szCs w:val="18"/>
              </w:rPr>
              <w:t>0%</w:t>
            </w:r>
          </w:p>
        </w:tc>
      </w:tr>
      <w:tr w14:paraId="59CFA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Pr>
          <w:p w14:paraId="21C15747">
            <w:pPr>
              <w:pStyle w:val="62"/>
              <w:numPr>
                <w:ilvl w:val="0"/>
                <w:numId w:val="0"/>
              </w:numPr>
              <w:jc w:val="center"/>
              <w:rPr>
                <w:rFonts w:ascii="Times New Roman"/>
                <w:b/>
              </w:rPr>
            </w:pPr>
            <w:r>
              <w:rPr>
                <w:rFonts w:hint="eastAsia" w:ascii="Times New Roman"/>
                <w:sz w:val="18"/>
                <w:szCs w:val="18"/>
              </w:rPr>
              <w:t xml:space="preserve">净 </w:t>
            </w:r>
            <w:r>
              <w:rPr>
                <w:rFonts w:ascii="Times New Roman"/>
                <w:sz w:val="18"/>
                <w:szCs w:val="18"/>
              </w:rPr>
              <w:t xml:space="preserve"> </w:t>
            </w:r>
            <w:r>
              <w:rPr>
                <w:rFonts w:hint="eastAsia" w:ascii="Times New Roman"/>
                <w:sz w:val="18"/>
                <w:szCs w:val="18"/>
              </w:rPr>
              <w:t>度</w:t>
            </w:r>
          </w:p>
        </w:tc>
        <w:tc>
          <w:tcPr>
            <w:tcW w:w="7230" w:type="dxa"/>
            <w:gridSpan w:val="3"/>
          </w:tcPr>
          <w:p w14:paraId="03F8CCA6">
            <w:pPr>
              <w:pStyle w:val="62"/>
              <w:numPr>
                <w:ilvl w:val="0"/>
                <w:numId w:val="0"/>
              </w:numPr>
              <w:jc w:val="center"/>
              <w:rPr>
                <w:rFonts w:ascii="Times New Roman"/>
                <w:b/>
              </w:rPr>
            </w:pPr>
            <w:r>
              <w:rPr>
                <w:rFonts w:hint="eastAsia" w:ascii="Times New Roman"/>
                <w:sz w:val="18"/>
                <w:szCs w:val="18"/>
              </w:rPr>
              <w:t>鲜叶不得有鱼叶、单片叶、老梗、老片及非茶夹杂物</w:t>
            </w:r>
          </w:p>
        </w:tc>
      </w:tr>
      <w:tr w14:paraId="42BCB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Pr>
          <w:p w14:paraId="2AB7B5A7">
            <w:pPr>
              <w:pStyle w:val="62"/>
              <w:numPr>
                <w:ilvl w:val="0"/>
                <w:numId w:val="0"/>
              </w:numPr>
              <w:jc w:val="center"/>
              <w:rPr>
                <w:rFonts w:ascii="Times New Roman"/>
                <w:b/>
              </w:rPr>
            </w:pPr>
            <w:r>
              <w:rPr>
                <w:rFonts w:hint="eastAsia" w:ascii="Times New Roman"/>
                <w:sz w:val="18"/>
                <w:szCs w:val="18"/>
              </w:rPr>
              <w:t>新鲜度</w:t>
            </w:r>
          </w:p>
        </w:tc>
        <w:tc>
          <w:tcPr>
            <w:tcW w:w="7230" w:type="dxa"/>
            <w:gridSpan w:val="3"/>
          </w:tcPr>
          <w:p w14:paraId="0D4C6E29">
            <w:pPr>
              <w:pStyle w:val="62"/>
              <w:numPr>
                <w:ilvl w:val="0"/>
                <w:numId w:val="0"/>
              </w:numPr>
              <w:jc w:val="center"/>
              <w:rPr>
                <w:rFonts w:ascii="Times New Roman"/>
                <w:b/>
              </w:rPr>
            </w:pPr>
            <w:r>
              <w:rPr>
                <w:rFonts w:hint="eastAsia" w:ascii="Times New Roman"/>
                <w:sz w:val="18"/>
                <w:szCs w:val="18"/>
              </w:rPr>
              <w:t>鲜叶鲜活，无病变叶、虫伤叶、紫色芽叶、红梗红叶及机械损伤叶</w:t>
            </w:r>
          </w:p>
        </w:tc>
      </w:tr>
    </w:tbl>
    <w:p w14:paraId="64563E74">
      <w:pPr>
        <w:pStyle w:val="62"/>
        <w:numPr>
          <w:ilvl w:val="0"/>
          <w:numId w:val="0"/>
        </w:numPr>
        <w:rPr>
          <w:rFonts w:ascii="Times New Roman"/>
          <w:b/>
          <w:color w:val="0070C0"/>
        </w:rPr>
      </w:pPr>
    </w:p>
    <w:p w14:paraId="1EC52EF6">
      <w:pPr>
        <w:pStyle w:val="41"/>
        <w:spacing w:before="156" w:after="156"/>
        <w:ind w:left="2"/>
        <w:rPr>
          <w:rFonts w:ascii="Times New Roman"/>
        </w:rPr>
      </w:pPr>
      <w:r>
        <w:rPr>
          <w:rFonts w:ascii="Times New Roman"/>
        </w:rPr>
        <w:t>加工</w:t>
      </w:r>
      <w:r>
        <w:rPr>
          <w:rFonts w:hint="eastAsia" w:ascii="Times New Roman"/>
        </w:rPr>
        <w:t>条件</w:t>
      </w:r>
    </w:p>
    <w:p w14:paraId="72B5C267">
      <w:pPr>
        <w:pStyle w:val="62"/>
        <w:ind w:left="0"/>
        <w:rPr>
          <w:rFonts w:ascii="Times New Roman"/>
        </w:rPr>
      </w:pPr>
      <w:r>
        <w:rPr>
          <w:rFonts w:ascii="Times New Roman"/>
        </w:rPr>
        <w:t>加工厂</w:t>
      </w:r>
      <w:r>
        <w:rPr>
          <w:rFonts w:hint="eastAsia" w:ascii="Times New Roman"/>
        </w:rPr>
        <w:t>和加工人员</w:t>
      </w:r>
      <w:r>
        <w:rPr>
          <w:rFonts w:ascii="Times New Roman"/>
        </w:rPr>
        <w:t>应符合</w:t>
      </w:r>
      <w:r>
        <w:rPr>
          <w:rFonts w:hint="eastAsia" w:ascii="Times New Roman"/>
        </w:rPr>
        <w:t>GH/T 1077和GB/T14881</w:t>
      </w:r>
      <w:r>
        <w:rPr>
          <w:rFonts w:ascii="Times New Roman"/>
        </w:rPr>
        <w:t>的</w:t>
      </w:r>
      <w:r>
        <w:rPr>
          <w:rFonts w:hint="eastAsia" w:ascii="Times New Roman"/>
        </w:rPr>
        <w:t>规定</w:t>
      </w:r>
      <w:r>
        <w:rPr>
          <w:rFonts w:ascii="Times New Roman"/>
        </w:rPr>
        <w:t>。</w:t>
      </w:r>
    </w:p>
    <w:p w14:paraId="5298BCDF">
      <w:pPr>
        <w:pStyle w:val="62"/>
        <w:ind w:left="2"/>
        <w:rPr>
          <w:rFonts w:ascii="Times New Roman"/>
        </w:rPr>
      </w:pPr>
      <w:r>
        <w:rPr>
          <w:rFonts w:hint="eastAsia" w:ascii="Times New Roman"/>
        </w:rPr>
        <w:t>加工机械设备应符合GB 22747的规定。</w:t>
      </w:r>
    </w:p>
    <w:p w14:paraId="67570BE8">
      <w:pPr>
        <w:pStyle w:val="62"/>
        <w:ind w:left="2"/>
        <w:rPr>
          <w:rFonts w:ascii="Times New Roman"/>
        </w:rPr>
      </w:pPr>
      <w:r>
        <w:rPr>
          <w:rFonts w:ascii="Times New Roman"/>
        </w:rPr>
        <w:t>加工过程中直接与茶叶接触的器具，应符合食品安全要求。</w:t>
      </w:r>
    </w:p>
    <w:p w14:paraId="4F83ACDA">
      <w:pPr>
        <w:pStyle w:val="44"/>
        <w:spacing w:before="312" w:after="312"/>
        <w:rPr>
          <w:rFonts w:ascii="Times New Roman"/>
        </w:rPr>
      </w:pPr>
      <w:r>
        <w:rPr>
          <w:rFonts w:hint="eastAsia" w:ascii="Times New Roman"/>
        </w:rPr>
        <w:t>基本工艺流程</w:t>
      </w:r>
    </w:p>
    <w:p w14:paraId="2F709D86">
      <w:pPr>
        <w:pStyle w:val="62"/>
        <w:numPr>
          <w:ilvl w:val="0"/>
          <w:numId w:val="0"/>
        </w:numPr>
        <w:ind w:left="426"/>
        <w:rPr>
          <w:rFonts w:ascii="Times New Roman"/>
        </w:rPr>
      </w:pPr>
      <w:r>
        <w:rPr>
          <w:rFonts w:hint="eastAsia" w:ascii="Times New Roman"/>
        </w:rPr>
        <w:t>鲜叶</w:t>
      </w:r>
      <w:r>
        <w:rPr>
          <w:rFonts w:hint="eastAsia" w:hAnsi="宋体"/>
        </w:rPr>
        <w:t>→摊青→杀青→摊</w:t>
      </w:r>
      <w:r>
        <w:rPr>
          <w:rFonts w:hint="eastAsia"/>
        </w:rPr>
        <w:t>晾</w:t>
      </w:r>
      <w:r>
        <w:rPr>
          <w:rFonts w:hint="eastAsia" w:hAnsi="宋体"/>
        </w:rPr>
        <w:t>→揉捻→解块→</w:t>
      </w:r>
      <w:r>
        <w:rPr>
          <w:rFonts w:hint="eastAsia" w:ascii="Times New Roman"/>
        </w:rPr>
        <w:t>初烘→复烘→提香</w:t>
      </w:r>
      <w:r>
        <w:rPr>
          <w:rFonts w:hint="eastAsia" w:hAnsi="宋体"/>
        </w:rPr>
        <w:t>。</w:t>
      </w:r>
    </w:p>
    <w:p w14:paraId="6C5144E7">
      <w:pPr>
        <w:pStyle w:val="44"/>
        <w:spacing w:before="312" w:after="312"/>
        <w:rPr>
          <w:rFonts w:ascii="Times New Roman"/>
        </w:rPr>
      </w:pPr>
      <w:r>
        <w:rPr>
          <w:rFonts w:ascii="Times New Roman"/>
        </w:rPr>
        <w:t>加工技术</w:t>
      </w:r>
      <w:r>
        <w:rPr>
          <w:rFonts w:hint="eastAsia" w:ascii="Times New Roman"/>
        </w:rPr>
        <w:t>要求</w:t>
      </w:r>
    </w:p>
    <w:p w14:paraId="2087A774">
      <w:pPr>
        <w:pStyle w:val="41"/>
        <w:spacing w:before="156" w:after="156"/>
      </w:pPr>
      <w:r>
        <w:rPr>
          <w:rFonts w:hint="eastAsia"/>
        </w:rPr>
        <w:t>摊青</w:t>
      </w:r>
    </w:p>
    <w:p w14:paraId="2D7413C3">
      <w:pPr>
        <w:pStyle w:val="62"/>
        <w:numPr>
          <w:ilvl w:val="0"/>
          <w:numId w:val="0"/>
        </w:numPr>
      </w:pPr>
      <w:r>
        <w:rPr>
          <w:rFonts w:hint="eastAsia" w:ascii="Times New Roman"/>
        </w:rPr>
        <w:t>6</w:t>
      </w:r>
      <w:r>
        <w:rPr>
          <w:rFonts w:ascii="Times New Roman"/>
        </w:rPr>
        <w:t>.1.1</w:t>
      </w:r>
      <w:r>
        <w:rPr>
          <w:rFonts w:hint="eastAsia"/>
        </w:rPr>
        <w:t>鲜叶进厂后均匀摊放在摊青机上，摊青机要求带有鼓风和加热装置</w:t>
      </w:r>
      <w:r>
        <w:t xml:space="preserve">。 </w:t>
      </w:r>
    </w:p>
    <w:p w14:paraId="0578F557">
      <w:pPr>
        <w:pStyle w:val="8"/>
      </w:pPr>
      <w:r>
        <w:t>6.1.2</w:t>
      </w:r>
      <w:r>
        <w:rPr>
          <w:rFonts w:hint="eastAsia"/>
        </w:rPr>
        <w:t>摊放时间3</w:t>
      </w:r>
      <w:r>
        <w:t xml:space="preserve"> h</w:t>
      </w:r>
      <w:r>
        <w:rPr>
          <w:rFonts w:hint="eastAsia"/>
        </w:rPr>
        <w:t xml:space="preserve"> -5</w:t>
      </w:r>
      <w:r>
        <w:t xml:space="preserve"> h</w:t>
      </w:r>
      <w:r>
        <w:rPr>
          <w:rFonts w:hint="eastAsia"/>
        </w:rPr>
        <w:t>，中途间歇吹风，且翻叶2次~3次；气温低于20</w:t>
      </w:r>
      <w:r>
        <w:rPr>
          <w:rFonts w:hint="eastAsia" w:ascii="宋体" w:hAnsi="宋体"/>
        </w:rPr>
        <w:t>℃</w:t>
      </w:r>
      <w:r>
        <w:rPr>
          <w:rFonts w:hint="eastAsia"/>
        </w:rPr>
        <w:t>时，应采取吹热风。</w:t>
      </w:r>
      <w:r>
        <w:t xml:space="preserve"> </w:t>
      </w:r>
    </w:p>
    <w:p w14:paraId="113182C1">
      <w:pPr>
        <w:pStyle w:val="62"/>
        <w:numPr>
          <w:ilvl w:val="0"/>
          <w:numId w:val="0"/>
        </w:numPr>
        <w:rPr>
          <w:rFonts w:ascii="Times New Roman"/>
        </w:rPr>
      </w:pPr>
      <w:r>
        <w:rPr>
          <w:rFonts w:ascii="Times New Roman"/>
          <w:kern w:val="2"/>
          <w:szCs w:val="24"/>
        </w:rPr>
        <w:t>6.1.3</w:t>
      </w:r>
      <w:r>
        <w:t>摊放程度以芽叶含水量 68%～72%为宜，手捏芽叶较柔软，青草气消退，有清香或花果香。</w:t>
      </w:r>
    </w:p>
    <w:p w14:paraId="18748133">
      <w:pPr>
        <w:pStyle w:val="62"/>
        <w:numPr>
          <w:ilvl w:val="0"/>
          <w:numId w:val="0"/>
        </w:numPr>
        <w:rPr>
          <w:rFonts w:ascii="Times New Roman"/>
        </w:rPr>
      </w:pPr>
    </w:p>
    <w:p w14:paraId="36D5E996">
      <w:pPr>
        <w:pStyle w:val="41"/>
        <w:spacing w:before="156" w:after="156"/>
        <w:rPr>
          <w:rFonts w:ascii="Times New Roman"/>
        </w:rPr>
      </w:pPr>
      <w:r>
        <w:rPr>
          <w:rFonts w:hint="eastAsia"/>
        </w:rPr>
        <w:t>杀青</w:t>
      </w:r>
    </w:p>
    <w:p w14:paraId="18065114">
      <w:pPr>
        <w:pStyle w:val="62"/>
        <w:numPr>
          <w:ilvl w:val="0"/>
          <w:numId w:val="0"/>
        </w:numPr>
      </w:pPr>
      <w:r>
        <w:rPr>
          <w:rFonts w:hint="eastAsia"/>
          <w:lang w:val="en-US" w:eastAsia="zh-CN"/>
        </w:rPr>
        <w:t>6</w:t>
      </w:r>
      <w:r>
        <w:t>.2.1滚筒连续杀青机杀青</w:t>
      </w:r>
    </w:p>
    <w:p w14:paraId="4B98D0A2">
      <w:pPr>
        <w:pStyle w:val="62"/>
        <w:numPr>
          <w:ilvl w:val="0"/>
          <w:numId w:val="0"/>
        </w:numPr>
        <w:ind w:firstLine="420" w:firstLineChars="200"/>
      </w:pPr>
      <w:r>
        <w:t>滚筒连续杀青机杀青参数如表2。</w:t>
      </w:r>
    </w:p>
    <w:p w14:paraId="22E4CCCF">
      <w:pPr>
        <w:pStyle w:val="62"/>
        <w:numPr>
          <w:ilvl w:val="0"/>
          <w:numId w:val="0"/>
        </w:numPr>
      </w:pPr>
    </w:p>
    <w:p w14:paraId="0960BE9B">
      <w:pPr>
        <w:pStyle w:val="62"/>
        <w:numPr>
          <w:ilvl w:val="0"/>
          <w:numId w:val="0"/>
        </w:numPr>
      </w:pPr>
    </w:p>
    <w:p w14:paraId="5EB14FBE">
      <w:pPr>
        <w:pStyle w:val="62"/>
        <w:numPr>
          <w:ilvl w:val="0"/>
          <w:numId w:val="0"/>
        </w:numPr>
        <w:jc w:val="center"/>
      </w:pPr>
      <w:r>
        <w:rPr>
          <w:rFonts w:hint="eastAsia"/>
        </w:rPr>
        <w:t>表2</w:t>
      </w:r>
      <w:r>
        <w:t xml:space="preserve"> 滚筒连续杀青机杀青参数</w:t>
      </w:r>
    </w:p>
    <w:p w14:paraId="62B73D8B">
      <w:pPr>
        <w:pStyle w:val="62"/>
        <w:numPr>
          <w:ilvl w:val="0"/>
          <w:numId w:val="0"/>
        </w:numPr>
      </w:pPr>
    </w:p>
    <w:tbl>
      <w:tblPr>
        <w:tblStyle w:val="32"/>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55"/>
        <w:gridCol w:w="2126"/>
        <w:gridCol w:w="2126"/>
        <w:gridCol w:w="2268"/>
      </w:tblGrid>
      <w:tr w14:paraId="7640B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1555" w:type="dxa"/>
          </w:tcPr>
          <w:p w14:paraId="04960692">
            <w:pPr>
              <w:pStyle w:val="62"/>
              <w:numPr>
                <w:ilvl w:val="0"/>
                <w:numId w:val="0"/>
              </w:numPr>
              <w:jc w:val="center"/>
            </w:pPr>
            <w:r>
              <w:rPr>
                <w:rFonts w:hint="eastAsia"/>
              </w:rPr>
              <w:t>滚筒型号</w:t>
            </w:r>
          </w:p>
        </w:tc>
        <w:tc>
          <w:tcPr>
            <w:tcW w:w="2126" w:type="dxa"/>
          </w:tcPr>
          <w:p w14:paraId="268BEA32">
            <w:pPr>
              <w:pStyle w:val="62"/>
              <w:numPr>
                <w:ilvl w:val="0"/>
                <w:numId w:val="0"/>
              </w:numPr>
              <w:jc w:val="center"/>
            </w:pPr>
            <w:r>
              <w:rPr>
                <w:rFonts w:hint="eastAsia"/>
              </w:rPr>
              <w:t>6</w:t>
            </w:r>
            <w:r>
              <w:t>CST</w:t>
            </w:r>
            <w:r>
              <w:rPr>
                <w:rFonts w:hint="eastAsia"/>
              </w:rPr>
              <w:t>-</w:t>
            </w:r>
            <w:r>
              <w:t>70</w:t>
            </w:r>
          </w:p>
        </w:tc>
        <w:tc>
          <w:tcPr>
            <w:tcW w:w="2126" w:type="dxa"/>
          </w:tcPr>
          <w:p w14:paraId="7C36578B">
            <w:pPr>
              <w:pStyle w:val="62"/>
              <w:numPr>
                <w:ilvl w:val="0"/>
                <w:numId w:val="0"/>
              </w:numPr>
              <w:jc w:val="center"/>
            </w:pPr>
            <w:r>
              <w:rPr>
                <w:rFonts w:hint="eastAsia"/>
              </w:rPr>
              <w:t>6</w:t>
            </w:r>
            <w:r>
              <w:t>CST</w:t>
            </w:r>
            <w:r>
              <w:rPr>
                <w:rFonts w:hint="eastAsia"/>
              </w:rPr>
              <w:t>-</w:t>
            </w:r>
            <w:r>
              <w:t>80</w:t>
            </w:r>
          </w:p>
        </w:tc>
        <w:tc>
          <w:tcPr>
            <w:tcW w:w="2268" w:type="dxa"/>
          </w:tcPr>
          <w:p w14:paraId="6696784E">
            <w:pPr>
              <w:pStyle w:val="62"/>
              <w:numPr>
                <w:ilvl w:val="0"/>
                <w:numId w:val="0"/>
              </w:numPr>
              <w:jc w:val="center"/>
            </w:pPr>
            <w:r>
              <w:rPr>
                <w:rFonts w:hint="eastAsia"/>
              </w:rPr>
              <w:t>6</w:t>
            </w:r>
            <w:r>
              <w:t>CST</w:t>
            </w:r>
            <w:r>
              <w:rPr>
                <w:rFonts w:hint="eastAsia"/>
              </w:rPr>
              <w:t>-</w:t>
            </w:r>
            <w:r>
              <w:t>100</w:t>
            </w:r>
          </w:p>
        </w:tc>
      </w:tr>
      <w:tr w14:paraId="53710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1555" w:type="dxa"/>
          </w:tcPr>
          <w:p w14:paraId="6F0A5DEE">
            <w:pPr>
              <w:pStyle w:val="62"/>
              <w:numPr>
                <w:ilvl w:val="0"/>
                <w:numId w:val="0"/>
              </w:numPr>
              <w:jc w:val="center"/>
            </w:pPr>
            <w:r>
              <w:rPr>
                <w:rFonts w:hint="eastAsia"/>
              </w:rPr>
              <w:t>杀青温度</w:t>
            </w:r>
          </w:p>
        </w:tc>
        <w:tc>
          <w:tcPr>
            <w:tcW w:w="2126" w:type="dxa"/>
          </w:tcPr>
          <w:p w14:paraId="0E70BE48">
            <w:pPr>
              <w:pStyle w:val="62"/>
              <w:numPr>
                <w:ilvl w:val="0"/>
                <w:numId w:val="0"/>
              </w:numPr>
              <w:jc w:val="center"/>
            </w:pPr>
            <w:r>
              <w:rPr>
                <w:rFonts w:hint="eastAsia"/>
              </w:rPr>
              <w:t>2</w:t>
            </w:r>
            <w:r>
              <w:t>30</w:t>
            </w:r>
            <w:r>
              <w:rPr>
                <w:rFonts w:hint="eastAsia"/>
              </w:rPr>
              <w:t>-</w:t>
            </w:r>
            <w:r>
              <w:t>260</w:t>
            </w:r>
            <w:r>
              <w:rPr>
                <w:rFonts w:hint="eastAsia"/>
              </w:rPr>
              <w:t>℃</w:t>
            </w:r>
          </w:p>
        </w:tc>
        <w:tc>
          <w:tcPr>
            <w:tcW w:w="2126" w:type="dxa"/>
          </w:tcPr>
          <w:p w14:paraId="019387DA">
            <w:pPr>
              <w:pStyle w:val="62"/>
              <w:numPr>
                <w:ilvl w:val="0"/>
                <w:numId w:val="0"/>
              </w:numPr>
              <w:jc w:val="center"/>
            </w:pPr>
            <w:r>
              <w:rPr>
                <w:rFonts w:hint="eastAsia"/>
              </w:rPr>
              <w:t>2</w:t>
            </w:r>
            <w:r>
              <w:t>30</w:t>
            </w:r>
            <w:r>
              <w:rPr>
                <w:rFonts w:hint="eastAsia"/>
              </w:rPr>
              <w:t>-</w:t>
            </w:r>
            <w:r>
              <w:t>260</w:t>
            </w:r>
            <w:r>
              <w:rPr>
                <w:rFonts w:hint="eastAsia"/>
              </w:rPr>
              <w:t>℃</w:t>
            </w:r>
          </w:p>
        </w:tc>
        <w:tc>
          <w:tcPr>
            <w:tcW w:w="2268" w:type="dxa"/>
          </w:tcPr>
          <w:p w14:paraId="218F463D">
            <w:pPr>
              <w:pStyle w:val="62"/>
              <w:numPr>
                <w:ilvl w:val="0"/>
                <w:numId w:val="0"/>
              </w:numPr>
              <w:jc w:val="center"/>
            </w:pPr>
            <w:r>
              <w:rPr>
                <w:rFonts w:hint="eastAsia"/>
              </w:rPr>
              <w:t>2</w:t>
            </w:r>
            <w:r>
              <w:t>30</w:t>
            </w:r>
            <w:r>
              <w:rPr>
                <w:rFonts w:hint="eastAsia"/>
              </w:rPr>
              <w:t>-</w:t>
            </w:r>
            <w:r>
              <w:t>260</w:t>
            </w:r>
            <w:r>
              <w:rPr>
                <w:rFonts w:hint="eastAsia"/>
              </w:rPr>
              <w:t>℃</w:t>
            </w:r>
          </w:p>
        </w:tc>
      </w:tr>
      <w:tr w14:paraId="698C6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1555" w:type="dxa"/>
          </w:tcPr>
          <w:p w14:paraId="074A8315">
            <w:pPr>
              <w:pStyle w:val="62"/>
              <w:numPr>
                <w:ilvl w:val="0"/>
                <w:numId w:val="0"/>
              </w:numPr>
              <w:jc w:val="center"/>
            </w:pPr>
            <w:r>
              <w:rPr>
                <w:rFonts w:hint="eastAsia"/>
              </w:rPr>
              <w:t>投 叶 量</w:t>
            </w:r>
          </w:p>
        </w:tc>
        <w:tc>
          <w:tcPr>
            <w:tcW w:w="2126" w:type="dxa"/>
          </w:tcPr>
          <w:p w14:paraId="340EEB27">
            <w:pPr>
              <w:pStyle w:val="62"/>
              <w:numPr>
                <w:ilvl w:val="0"/>
                <w:numId w:val="0"/>
              </w:numPr>
              <w:jc w:val="center"/>
            </w:pPr>
            <w:r>
              <w:t>60</w:t>
            </w:r>
            <w:r>
              <w:rPr>
                <w:rFonts w:hint="eastAsia"/>
              </w:rPr>
              <w:t>-</w:t>
            </w:r>
            <w:r>
              <w:t>80</w:t>
            </w:r>
            <w:r>
              <w:rPr>
                <w:rFonts w:hint="eastAsia"/>
              </w:rPr>
              <w:t>kg/h</w:t>
            </w:r>
          </w:p>
        </w:tc>
        <w:tc>
          <w:tcPr>
            <w:tcW w:w="2126" w:type="dxa"/>
          </w:tcPr>
          <w:p w14:paraId="3F20059E">
            <w:pPr>
              <w:pStyle w:val="62"/>
              <w:numPr>
                <w:ilvl w:val="0"/>
                <w:numId w:val="0"/>
              </w:numPr>
              <w:jc w:val="center"/>
            </w:pPr>
            <w:r>
              <w:t>100</w:t>
            </w:r>
            <w:r>
              <w:rPr>
                <w:rFonts w:hint="eastAsia"/>
              </w:rPr>
              <w:t>-</w:t>
            </w:r>
            <w:r>
              <w:t>120</w:t>
            </w:r>
            <w:r>
              <w:rPr>
                <w:rFonts w:hint="eastAsia"/>
              </w:rPr>
              <w:t>kg/h</w:t>
            </w:r>
          </w:p>
        </w:tc>
        <w:tc>
          <w:tcPr>
            <w:tcW w:w="2268" w:type="dxa"/>
          </w:tcPr>
          <w:p w14:paraId="306846AB">
            <w:pPr>
              <w:pStyle w:val="62"/>
              <w:numPr>
                <w:ilvl w:val="0"/>
                <w:numId w:val="0"/>
              </w:numPr>
              <w:jc w:val="center"/>
            </w:pPr>
            <w:r>
              <w:t>180</w:t>
            </w:r>
            <w:r>
              <w:rPr>
                <w:rFonts w:hint="eastAsia"/>
              </w:rPr>
              <w:t>-</w:t>
            </w:r>
            <w:r>
              <w:t>280</w:t>
            </w:r>
            <w:r>
              <w:rPr>
                <w:rFonts w:hint="eastAsia"/>
              </w:rPr>
              <w:t>kg/h</w:t>
            </w:r>
          </w:p>
        </w:tc>
      </w:tr>
    </w:tbl>
    <w:p w14:paraId="29188ACD">
      <w:pPr>
        <w:pStyle w:val="62"/>
        <w:numPr>
          <w:ilvl w:val="0"/>
          <w:numId w:val="0"/>
        </w:numPr>
        <w:rPr>
          <w:rFonts w:ascii="Times New Roman"/>
        </w:rPr>
      </w:pPr>
    </w:p>
    <w:p w14:paraId="2F777AA8">
      <w:pPr>
        <w:pStyle w:val="62"/>
        <w:numPr>
          <w:ilvl w:val="0"/>
          <w:numId w:val="0"/>
        </w:numPr>
      </w:pPr>
      <w:r>
        <w:rPr>
          <w:rFonts w:hint="eastAsia"/>
          <w:lang w:val="en-US" w:eastAsia="zh-CN"/>
        </w:rPr>
        <w:t>6</w:t>
      </w:r>
      <w:r>
        <w:t>.2.2 热风杀青</w:t>
      </w:r>
      <w:r>
        <w:rPr>
          <w:rFonts w:hint="eastAsia"/>
        </w:rPr>
        <w:t>机杀青</w:t>
      </w:r>
      <w:r>
        <w:t xml:space="preserve"> </w:t>
      </w:r>
    </w:p>
    <w:p w14:paraId="7B66C583">
      <w:pPr>
        <w:pStyle w:val="62"/>
        <w:numPr>
          <w:ilvl w:val="0"/>
          <w:numId w:val="0"/>
        </w:numPr>
        <w:ind w:firstLine="420" w:firstLineChars="200"/>
      </w:pPr>
      <w:r>
        <w:t>6CSR-80杀青机，杀青热风进口温度250 ℃～280 ℃、滚筒转速25 r/min～35 r/min，杀青时间2 min 左右。</w:t>
      </w:r>
    </w:p>
    <w:p w14:paraId="207010C6">
      <w:pPr>
        <w:pStyle w:val="62"/>
        <w:numPr>
          <w:ilvl w:val="0"/>
          <w:numId w:val="0"/>
        </w:numPr>
      </w:pPr>
    </w:p>
    <w:p w14:paraId="737B6777">
      <w:pPr>
        <w:pStyle w:val="62"/>
        <w:numPr>
          <w:ilvl w:val="0"/>
          <w:numId w:val="0"/>
        </w:numPr>
      </w:pPr>
      <w:r>
        <w:rPr>
          <w:rFonts w:hint="eastAsia"/>
          <w:lang w:val="en-US" w:eastAsia="zh-CN"/>
        </w:rPr>
        <w:t>6</w:t>
      </w:r>
      <w:r>
        <w:t>.2.3杀青</w:t>
      </w:r>
      <w:r>
        <w:rPr>
          <w:rFonts w:hint="eastAsia"/>
        </w:rPr>
        <w:t>程度</w:t>
      </w:r>
    </w:p>
    <w:p w14:paraId="3FA450F5">
      <w:pPr>
        <w:pStyle w:val="62"/>
        <w:numPr>
          <w:ilvl w:val="0"/>
          <w:numId w:val="0"/>
        </w:numPr>
        <w:ind w:firstLine="420" w:firstLineChars="200"/>
      </w:pPr>
      <w:r>
        <w:t>杀青叶叶质由硬脆变为柔软，</w:t>
      </w:r>
      <w:r>
        <w:rPr>
          <w:rFonts w:hint="eastAsia"/>
        </w:rPr>
        <w:t>叶缘有刺手感，</w:t>
      </w:r>
      <w:r>
        <w:t>叶色变暗，青气消退，此时茶叶手捏成团，略有黏性，松手即散。杀青叶含水量控制在58%～60%。</w:t>
      </w:r>
    </w:p>
    <w:p w14:paraId="4C8542DA">
      <w:pPr>
        <w:pStyle w:val="62"/>
        <w:numPr>
          <w:ilvl w:val="0"/>
          <w:numId w:val="0"/>
        </w:numPr>
        <w:rPr>
          <w:rFonts w:ascii="Times New Roman"/>
        </w:rPr>
      </w:pPr>
    </w:p>
    <w:p w14:paraId="1E4465F9">
      <w:pPr>
        <w:pStyle w:val="41"/>
        <w:spacing w:before="156" w:after="156"/>
      </w:pPr>
      <w:r>
        <w:rPr>
          <w:rFonts w:hint="eastAsia"/>
        </w:rPr>
        <w:t>第一次摊晾回潮</w:t>
      </w:r>
    </w:p>
    <w:p w14:paraId="3D5059B1">
      <w:pPr>
        <w:pStyle w:val="23"/>
      </w:pPr>
      <w:r>
        <w:rPr>
          <w:rFonts w:hint="eastAsia"/>
        </w:rPr>
        <w:t>采用6CL-60、6CL-100型冷却机，叶层厚度≤3 cm，时间≥</w:t>
      </w:r>
      <w:r>
        <w:t>1</w:t>
      </w:r>
      <w:r>
        <w:rPr>
          <w:rFonts w:hint="eastAsia"/>
        </w:rPr>
        <w:t>0 min,冷却至室温。采用6CH-60、6CL-100型回潮机，叶层厚度≥25 cm，时间≥30 min，回潮至叶质柔软。</w:t>
      </w:r>
      <w:r>
        <w:cr/>
      </w:r>
    </w:p>
    <w:p w14:paraId="55504DE0">
      <w:pPr>
        <w:pStyle w:val="41"/>
        <w:spacing w:before="156" w:after="156"/>
      </w:pPr>
      <w:r>
        <w:rPr>
          <w:rFonts w:hint="eastAsia"/>
        </w:rPr>
        <w:t>揉捻</w:t>
      </w:r>
    </w:p>
    <w:p w14:paraId="5756CA2A">
      <w:pPr>
        <w:pStyle w:val="23"/>
        <w:ind w:firstLine="0" w:firstLineChars="0"/>
      </w:pPr>
      <w:r>
        <w:rPr>
          <w:rFonts w:hint="eastAsia"/>
          <w:lang w:val="en-US" w:eastAsia="zh-CN"/>
        </w:rPr>
        <w:t>6</w:t>
      </w:r>
      <w:r>
        <w:t>.4.1 揉捻机揉捻</w:t>
      </w:r>
    </w:p>
    <w:p w14:paraId="655AA902">
      <w:pPr>
        <w:pStyle w:val="62"/>
        <w:numPr>
          <w:ilvl w:val="0"/>
          <w:numId w:val="0"/>
        </w:numPr>
        <w:ind w:firstLine="420" w:firstLineChars="200"/>
        <w:rPr>
          <w:rFonts w:ascii="Times New Roman"/>
        </w:rPr>
      </w:pPr>
      <w:r>
        <w:rPr>
          <w:rFonts w:hint="eastAsia" w:ascii="Times New Roman"/>
        </w:rPr>
        <w:t>掌握“分次逐步加压、重揉”的方式，投叶量根据揉桶大小而定，揉捻时逐渐加压，</w:t>
      </w:r>
      <w:r>
        <w:t>加压方式为：不加压</w:t>
      </w:r>
      <w:r>
        <w:rPr>
          <w:rFonts w:hint="eastAsia"/>
        </w:rPr>
        <w:t>-</w:t>
      </w:r>
      <w:r>
        <w:t>轻压</w:t>
      </w:r>
      <w:r>
        <w:rPr>
          <w:rFonts w:hint="eastAsia"/>
        </w:rPr>
        <w:t>-</w:t>
      </w:r>
      <w:r>
        <w:t>重压</w:t>
      </w:r>
      <w:r>
        <w:rPr>
          <w:rFonts w:hint="eastAsia"/>
        </w:rPr>
        <w:t>-</w:t>
      </w:r>
      <w:r>
        <w:t>轻压</w:t>
      </w:r>
      <w:r>
        <w:rPr>
          <w:rFonts w:hint="eastAsia"/>
        </w:rPr>
        <w:t>-</w:t>
      </w:r>
      <w:r>
        <w:t>松压，中途轻重交替进行，</w:t>
      </w:r>
      <w:r>
        <w:rPr>
          <w:rFonts w:hint="eastAsia"/>
        </w:rPr>
        <w:t>春茶早中期鲜叶原料</w:t>
      </w:r>
      <w:r>
        <w:rPr>
          <w:rFonts w:hint="eastAsia" w:ascii="Times New Roman"/>
        </w:rPr>
        <w:t>时间约为</w:t>
      </w:r>
      <w:r>
        <w:rPr>
          <w:rFonts w:hint="eastAsia"/>
        </w:rPr>
        <w:t>≥30 min</w:t>
      </w:r>
      <w:r>
        <w:rPr>
          <w:rFonts w:hint="eastAsia" w:ascii="Times New Roman"/>
        </w:rPr>
        <w:t>，春茶晚期鲜叶原料需</w:t>
      </w:r>
      <w:r>
        <w:rPr>
          <w:rFonts w:hint="eastAsia"/>
        </w:rPr>
        <w:t>≥</w:t>
      </w:r>
      <w:r>
        <w:t>5</w:t>
      </w:r>
      <w:r>
        <w:rPr>
          <w:rFonts w:hint="eastAsia"/>
        </w:rPr>
        <w:t>0 min，</w:t>
      </w:r>
      <w:r>
        <w:rPr>
          <w:rFonts w:hint="eastAsia" w:ascii="Times New Roman"/>
        </w:rPr>
        <w:t>保持揉捻叶的完整。</w:t>
      </w:r>
      <w:r>
        <w:t>揉捻参数如表3所示：</w:t>
      </w:r>
    </w:p>
    <w:p w14:paraId="3967E11E">
      <w:pPr>
        <w:pStyle w:val="23"/>
        <w:jc w:val="center"/>
      </w:pPr>
    </w:p>
    <w:p w14:paraId="784078BE">
      <w:pPr>
        <w:pStyle w:val="23"/>
        <w:jc w:val="center"/>
      </w:pPr>
      <w:r>
        <w:rPr>
          <w:rFonts w:hint="eastAsia"/>
        </w:rPr>
        <w:t>表3</w:t>
      </w:r>
      <w:r>
        <w:t xml:space="preserve"> </w:t>
      </w:r>
      <w:r>
        <w:rPr>
          <w:rFonts w:hint="eastAsia"/>
        </w:rPr>
        <w:t>揉捻技术参数</w:t>
      </w:r>
    </w:p>
    <w:tbl>
      <w:tblPr>
        <w:tblStyle w:val="32"/>
        <w:tblpPr w:leftFromText="180" w:rightFromText="180" w:vertAnchor="text" w:horzAnchor="margin" w:tblpXSpec="center" w:tblpY="1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22"/>
        <w:gridCol w:w="2622"/>
        <w:gridCol w:w="2622"/>
      </w:tblGrid>
      <w:tr w14:paraId="12FA6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trPr>
        <w:tc>
          <w:tcPr>
            <w:tcW w:w="2622" w:type="dxa"/>
          </w:tcPr>
          <w:p w14:paraId="1E8621C2">
            <w:pPr>
              <w:pStyle w:val="23"/>
              <w:ind w:firstLine="0" w:firstLineChars="0"/>
              <w:jc w:val="center"/>
              <w:rPr>
                <w:szCs w:val="18"/>
              </w:rPr>
            </w:pPr>
            <w:r>
              <w:rPr>
                <w:rFonts w:hint="eastAsia"/>
                <w:szCs w:val="18"/>
              </w:rPr>
              <w:t>揉捻机型号</w:t>
            </w:r>
          </w:p>
        </w:tc>
        <w:tc>
          <w:tcPr>
            <w:tcW w:w="2622" w:type="dxa"/>
          </w:tcPr>
          <w:p w14:paraId="730F7368">
            <w:pPr>
              <w:pStyle w:val="23"/>
              <w:ind w:firstLine="0" w:firstLineChars="0"/>
              <w:jc w:val="center"/>
              <w:rPr>
                <w:szCs w:val="18"/>
              </w:rPr>
            </w:pPr>
            <w:r>
              <w:rPr>
                <w:rFonts w:hint="eastAsia"/>
                <w:szCs w:val="18"/>
              </w:rPr>
              <w:t>6</w:t>
            </w:r>
            <w:r>
              <w:rPr>
                <w:szCs w:val="18"/>
              </w:rPr>
              <w:t>CR</w:t>
            </w:r>
            <w:r>
              <w:rPr>
                <w:rFonts w:hint="eastAsia"/>
                <w:szCs w:val="18"/>
              </w:rPr>
              <w:t>-</w:t>
            </w:r>
            <w:r>
              <w:rPr>
                <w:szCs w:val="18"/>
              </w:rPr>
              <w:t>45</w:t>
            </w:r>
          </w:p>
        </w:tc>
        <w:tc>
          <w:tcPr>
            <w:tcW w:w="2622" w:type="dxa"/>
          </w:tcPr>
          <w:p w14:paraId="699A1E19">
            <w:pPr>
              <w:pStyle w:val="23"/>
              <w:ind w:firstLine="0" w:firstLineChars="0"/>
              <w:jc w:val="center"/>
              <w:rPr>
                <w:szCs w:val="18"/>
              </w:rPr>
            </w:pPr>
            <w:r>
              <w:rPr>
                <w:rFonts w:hint="eastAsia"/>
                <w:szCs w:val="18"/>
              </w:rPr>
              <w:t>6</w:t>
            </w:r>
            <w:r>
              <w:rPr>
                <w:szCs w:val="18"/>
              </w:rPr>
              <w:t>CR</w:t>
            </w:r>
            <w:r>
              <w:rPr>
                <w:rFonts w:hint="eastAsia"/>
                <w:szCs w:val="18"/>
              </w:rPr>
              <w:t>-</w:t>
            </w:r>
            <w:r>
              <w:rPr>
                <w:szCs w:val="18"/>
              </w:rPr>
              <w:t>55</w:t>
            </w:r>
          </w:p>
        </w:tc>
      </w:tr>
      <w:tr w14:paraId="6B15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trPr>
        <w:tc>
          <w:tcPr>
            <w:tcW w:w="2622" w:type="dxa"/>
          </w:tcPr>
          <w:p w14:paraId="48E15CA2">
            <w:pPr>
              <w:pStyle w:val="23"/>
              <w:ind w:firstLine="0" w:firstLineChars="0"/>
              <w:jc w:val="center"/>
              <w:rPr>
                <w:szCs w:val="18"/>
              </w:rPr>
            </w:pPr>
            <w:r>
              <w:rPr>
                <w:rFonts w:hint="eastAsia"/>
                <w:szCs w:val="18"/>
              </w:rPr>
              <w:t>鲜叶质量</w:t>
            </w:r>
          </w:p>
        </w:tc>
        <w:tc>
          <w:tcPr>
            <w:tcW w:w="2622" w:type="dxa"/>
          </w:tcPr>
          <w:p w14:paraId="0CCCE3B7">
            <w:pPr>
              <w:pStyle w:val="23"/>
              <w:ind w:firstLine="0" w:firstLineChars="0"/>
              <w:jc w:val="center"/>
              <w:rPr>
                <w:szCs w:val="18"/>
              </w:rPr>
            </w:pPr>
            <w:r>
              <w:rPr>
                <w:rFonts w:hint="eastAsia"/>
                <w:szCs w:val="18"/>
              </w:rPr>
              <w:t>一芽二叶为主</w:t>
            </w:r>
          </w:p>
        </w:tc>
        <w:tc>
          <w:tcPr>
            <w:tcW w:w="2622" w:type="dxa"/>
          </w:tcPr>
          <w:p w14:paraId="5461CD89">
            <w:pPr>
              <w:pStyle w:val="23"/>
              <w:ind w:firstLine="0" w:firstLineChars="0"/>
              <w:jc w:val="center"/>
              <w:rPr>
                <w:szCs w:val="18"/>
              </w:rPr>
            </w:pPr>
            <w:r>
              <w:rPr>
                <w:rFonts w:hint="eastAsia"/>
                <w:szCs w:val="18"/>
              </w:rPr>
              <w:t>一芽二三叶</w:t>
            </w:r>
          </w:p>
        </w:tc>
      </w:tr>
      <w:tr w14:paraId="27A05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2622" w:type="dxa"/>
          </w:tcPr>
          <w:p w14:paraId="1DF5823F">
            <w:pPr>
              <w:pStyle w:val="23"/>
              <w:ind w:firstLine="0" w:firstLineChars="0"/>
              <w:jc w:val="center"/>
              <w:rPr>
                <w:szCs w:val="18"/>
              </w:rPr>
            </w:pPr>
            <w:r>
              <w:rPr>
                <w:rFonts w:hint="eastAsia"/>
                <w:szCs w:val="18"/>
              </w:rPr>
              <w:t>投</w:t>
            </w:r>
            <w:r>
              <w:rPr>
                <w:rFonts w:hint="eastAsia"/>
                <w:szCs w:val="18"/>
                <w:lang w:val="en-US" w:eastAsia="zh-CN"/>
              </w:rPr>
              <w:t xml:space="preserve"> </w:t>
            </w:r>
            <w:r>
              <w:rPr>
                <w:rFonts w:hint="eastAsia"/>
                <w:szCs w:val="18"/>
              </w:rPr>
              <w:t>叶</w:t>
            </w:r>
            <w:r>
              <w:rPr>
                <w:rFonts w:hint="eastAsia"/>
                <w:szCs w:val="18"/>
                <w:lang w:val="en-US" w:eastAsia="zh-CN"/>
              </w:rPr>
              <w:t xml:space="preserve"> </w:t>
            </w:r>
            <w:r>
              <w:rPr>
                <w:rFonts w:hint="eastAsia"/>
                <w:szCs w:val="18"/>
              </w:rPr>
              <w:t>量</w:t>
            </w:r>
          </w:p>
        </w:tc>
        <w:tc>
          <w:tcPr>
            <w:tcW w:w="2622" w:type="dxa"/>
          </w:tcPr>
          <w:p w14:paraId="0BB0DF49">
            <w:pPr>
              <w:pStyle w:val="23"/>
              <w:ind w:firstLine="0" w:firstLineChars="0"/>
              <w:jc w:val="center"/>
              <w:rPr>
                <w:szCs w:val="18"/>
              </w:rPr>
            </w:pPr>
            <w:r>
              <w:rPr>
                <w:rFonts w:hint="eastAsia"/>
                <w:szCs w:val="18"/>
              </w:rPr>
              <w:t>1</w:t>
            </w:r>
            <w:r>
              <w:rPr>
                <w:szCs w:val="18"/>
              </w:rPr>
              <w:t>2</w:t>
            </w:r>
            <w:r>
              <w:rPr>
                <w:rFonts w:hint="eastAsia"/>
                <w:szCs w:val="18"/>
              </w:rPr>
              <w:t>-</w:t>
            </w:r>
            <w:r>
              <w:rPr>
                <w:szCs w:val="18"/>
              </w:rPr>
              <w:t>15</w:t>
            </w:r>
            <w:r>
              <w:rPr>
                <w:rFonts w:hint="eastAsia"/>
                <w:szCs w:val="18"/>
              </w:rPr>
              <w:t>kg</w:t>
            </w:r>
          </w:p>
        </w:tc>
        <w:tc>
          <w:tcPr>
            <w:tcW w:w="2622" w:type="dxa"/>
          </w:tcPr>
          <w:p w14:paraId="20B38676">
            <w:pPr>
              <w:pStyle w:val="23"/>
              <w:ind w:firstLine="0" w:firstLineChars="0"/>
              <w:jc w:val="center"/>
              <w:rPr>
                <w:szCs w:val="18"/>
              </w:rPr>
            </w:pPr>
            <w:r>
              <w:rPr>
                <w:rFonts w:hint="eastAsia"/>
                <w:szCs w:val="18"/>
              </w:rPr>
              <w:t>3</w:t>
            </w:r>
            <w:r>
              <w:rPr>
                <w:szCs w:val="18"/>
              </w:rPr>
              <w:t>0</w:t>
            </w:r>
            <w:r>
              <w:rPr>
                <w:rFonts w:hint="eastAsia"/>
                <w:szCs w:val="18"/>
              </w:rPr>
              <w:t>-</w:t>
            </w:r>
            <w:r>
              <w:rPr>
                <w:szCs w:val="18"/>
              </w:rPr>
              <w:t>50</w:t>
            </w:r>
            <w:r>
              <w:rPr>
                <w:rFonts w:hint="eastAsia"/>
                <w:szCs w:val="18"/>
              </w:rPr>
              <w:t>kg</w:t>
            </w:r>
          </w:p>
        </w:tc>
      </w:tr>
      <w:tr w14:paraId="6E8AB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trPr>
        <w:tc>
          <w:tcPr>
            <w:tcW w:w="2622" w:type="dxa"/>
          </w:tcPr>
          <w:p w14:paraId="3EC02286">
            <w:pPr>
              <w:pStyle w:val="23"/>
              <w:ind w:firstLine="0" w:firstLineChars="0"/>
              <w:jc w:val="center"/>
              <w:rPr>
                <w:szCs w:val="18"/>
              </w:rPr>
            </w:pPr>
            <w:r>
              <w:rPr>
                <w:rFonts w:hint="eastAsia"/>
                <w:szCs w:val="18"/>
              </w:rPr>
              <w:t>揉捻时间</w:t>
            </w:r>
          </w:p>
        </w:tc>
        <w:tc>
          <w:tcPr>
            <w:tcW w:w="2622" w:type="dxa"/>
          </w:tcPr>
          <w:p w14:paraId="1D5CF20E">
            <w:pPr>
              <w:pStyle w:val="23"/>
              <w:ind w:firstLine="0" w:firstLineChars="0"/>
              <w:jc w:val="center"/>
              <w:rPr>
                <w:szCs w:val="18"/>
              </w:rPr>
            </w:pPr>
            <w:r>
              <w:rPr>
                <w:rFonts w:hint="eastAsia"/>
                <w:szCs w:val="18"/>
              </w:rPr>
              <w:t>2</w:t>
            </w:r>
            <w:r>
              <w:rPr>
                <w:szCs w:val="18"/>
              </w:rPr>
              <w:t>5</w:t>
            </w:r>
            <w:r>
              <w:rPr>
                <w:rFonts w:hint="eastAsia"/>
                <w:szCs w:val="18"/>
              </w:rPr>
              <w:t>-</w:t>
            </w:r>
            <w:r>
              <w:rPr>
                <w:szCs w:val="18"/>
              </w:rPr>
              <w:t>30</w:t>
            </w:r>
            <w:r>
              <w:rPr>
                <w:rFonts w:hint="eastAsia"/>
                <w:szCs w:val="18"/>
              </w:rPr>
              <w:t>min</w:t>
            </w:r>
          </w:p>
        </w:tc>
        <w:tc>
          <w:tcPr>
            <w:tcW w:w="2622" w:type="dxa"/>
          </w:tcPr>
          <w:p w14:paraId="1009883A">
            <w:pPr>
              <w:pStyle w:val="23"/>
              <w:ind w:firstLine="0" w:firstLineChars="0"/>
              <w:jc w:val="center"/>
              <w:rPr>
                <w:szCs w:val="18"/>
              </w:rPr>
            </w:pPr>
            <w:r>
              <w:rPr>
                <w:rFonts w:hint="eastAsia"/>
                <w:szCs w:val="18"/>
              </w:rPr>
              <w:t>约5</w:t>
            </w:r>
            <w:r>
              <w:rPr>
                <w:szCs w:val="18"/>
              </w:rPr>
              <w:t>0</w:t>
            </w:r>
            <w:r>
              <w:rPr>
                <w:rFonts w:hint="eastAsia"/>
                <w:szCs w:val="18"/>
              </w:rPr>
              <w:t>min</w:t>
            </w:r>
          </w:p>
        </w:tc>
      </w:tr>
    </w:tbl>
    <w:p w14:paraId="5FA5AAE0">
      <w:pPr>
        <w:pStyle w:val="23"/>
        <w:rPr>
          <w:color w:val="FF0000"/>
        </w:rPr>
      </w:pPr>
    </w:p>
    <w:p w14:paraId="371835EF">
      <w:pPr>
        <w:pStyle w:val="23"/>
        <w:rPr>
          <w:color w:val="FF0000"/>
        </w:rPr>
      </w:pPr>
    </w:p>
    <w:p w14:paraId="586D3A37">
      <w:pPr>
        <w:pStyle w:val="23"/>
      </w:pPr>
    </w:p>
    <w:p w14:paraId="7B859702">
      <w:pPr>
        <w:pStyle w:val="23"/>
      </w:pPr>
    </w:p>
    <w:p w14:paraId="13960FF9">
      <w:pPr>
        <w:pStyle w:val="23"/>
      </w:pPr>
    </w:p>
    <w:p w14:paraId="595505D4">
      <w:pPr>
        <w:pStyle w:val="23"/>
      </w:pPr>
    </w:p>
    <w:p w14:paraId="7063CC4B">
      <w:pPr>
        <w:pStyle w:val="23"/>
      </w:pPr>
    </w:p>
    <w:p w14:paraId="5DACE29E">
      <w:pPr>
        <w:pStyle w:val="62"/>
        <w:numPr>
          <w:ilvl w:val="0"/>
          <w:numId w:val="0"/>
        </w:numPr>
      </w:pPr>
      <w:r>
        <w:rPr>
          <w:rFonts w:hint="eastAsia"/>
          <w:szCs w:val="20"/>
          <w:lang w:val="en-US" w:eastAsia="zh-CN"/>
        </w:rPr>
        <w:t>6</w:t>
      </w:r>
      <w:r>
        <w:rPr>
          <w:szCs w:val="20"/>
        </w:rPr>
        <w:t xml:space="preserve">.4.2  </w:t>
      </w:r>
      <w:r>
        <w:t xml:space="preserve">揉捻程度 </w:t>
      </w:r>
    </w:p>
    <w:p w14:paraId="54EF26C4">
      <w:pPr>
        <w:pStyle w:val="62"/>
        <w:numPr>
          <w:ilvl w:val="0"/>
          <w:numId w:val="0"/>
        </w:numPr>
        <w:ind w:firstLine="420" w:firstLineChars="200"/>
        <w:rPr>
          <w:rFonts w:ascii="Times New Roman"/>
        </w:rPr>
      </w:pPr>
      <w:r>
        <w:t>芽叶卷紧成条，成条率在90%以上。</w:t>
      </w:r>
    </w:p>
    <w:p w14:paraId="5FC58160">
      <w:pPr>
        <w:pStyle w:val="41"/>
        <w:spacing w:before="156" w:after="156"/>
      </w:pPr>
      <w:r>
        <w:rPr>
          <w:rFonts w:hint="eastAsia"/>
        </w:rPr>
        <w:t>初烘</w:t>
      </w:r>
    </w:p>
    <w:p w14:paraId="7BFEB1E4">
      <w:pPr>
        <w:pStyle w:val="62"/>
        <w:numPr>
          <w:ilvl w:val="0"/>
          <w:numId w:val="0"/>
        </w:numPr>
      </w:pPr>
      <w:r>
        <w:rPr>
          <w:rFonts w:hint="eastAsia"/>
          <w:szCs w:val="20"/>
          <w:lang w:val="en-US" w:eastAsia="zh-CN"/>
        </w:rPr>
        <w:t>6</w:t>
      </w:r>
      <w:r>
        <w:rPr>
          <w:szCs w:val="20"/>
        </w:rPr>
        <w:t xml:space="preserve">.5.1 </w:t>
      </w:r>
      <w:r>
        <w:t>初</w:t>
      </w:r>
      <w:r>
        <w:rPr>
          <w:rFonts w:hint="eastAsia"/>
        </w:rPr>
        <w:t>烘</w:t>
      </w:r>
      <w:r>
        <w:t xml:space="preserve">方法 </w:t>
      </w:r>
    </w:p>
    <w:p w14:paraId="66234C6B">
      <w:pPr>
        <w:pStyle w:val="62"/>
        <w:numPr>
          <w:ilvl w:val="0"/>
          <w:numId w:val="0"/>
        </w:numPr>
        <w:ind w:firstLine="420" w:firstLineChars="200"/>
      </w:pPr>
      <w:r>
        <w:t>采用6CH－10、6CH－20m</w:t>
      </w:r>
      <w:r>
        <w:rPr>
          <w:vertAlign w:val="superscript"/>
        </w:rPr>
        <w:t>2</w:t>
      </w:r>
      <w:r>
        <w:t xml:space="preserve">型烘干机，烘干温度125 ℃～130 ℃。 </w:t>
      </w:r>
    </w:p>
    <w:p w14:paraId="14591D15">
      <w:pPr>
        <w:pStyle w:val="62"/>
        <w:numPr>
          <w:ilvl w:val="0"/>
          <w:numId w:val="0"/>
        </w:numPr>
      </w:pPr>
    </w:p>
    <w:p w14:paraId="43CAEC76">
      <w:pPr>
        <w:pStyle w:val="62"/>
        <w:numPr>
          <w:ilvl w:val="0"/>
          <w:numId w:val="0"/>
        </w:numPr>
      </w:pPr>
      <w:r>
        <w:rPr>
          <w:rFonts w:hint="eastAsia"/>
          <w:lang w:val="en-US" w:eastAsia="zh-CN"/>
        </w:rPr>
        <w:t>6</w:t>
      </w:r>
      <w:r>
        <w:rPr>
          <w:szCs w:val="20"/>
        </w:rPr>
        <w:t>.5.2</w:t>
      </w:r>
      <w:r>
        <w:t>初</w:t>
      </w:r>
      <w:r>
        <w:rPr>
          <w:rFonts w:hint="eastAsia"/>
        </w:rPr>
        <w:t>烘</w:t>
      </w:r>
      <w:r>
        <w:t xml:space="preserve">程度 </w:t>
      </w:r>
    </w:p>
    <w:p w14:paraId="4E2DB59D">
      <w:pPr>
        <w:pStyle w:val="62"/>
        <w:numPr>
          <w:ilvl w:val="0"/>
          <w:numId w:val="0"/>
        </w:numPr>
        <w:ind w:firstLine="420" w:firstLineChars="200"/>
      </w:pPr>
      <w:r>
        <w:t>叶含水量40%～45%，叶质略硬，不断碎。</w:t>
      </w:r>
    </w:p>
    <w:p w14:paraId="132276AC">
      <w:pPr>
        <w:pStyle w:val="62"/>
        <w:numPr>
          <w:ilvl w:val="0"/>
          <w:numId w:val="0"/>
        </w:numPr>
        <w:rPr>
          <w:rFonts w:ascii="Times New Roman"/>
        </w:rPr>
      </w:pPr>
    </w:p>
    <w:p w14:paraId="145A28E7">
      <w:pPr>
        <w:pStyle w:val="41"/>
        <w:spacing w:before="156" w:after="156"/>
      </w:pPr>
      <w:r>
        <w:rPr>
          <w:rFonts w:hint="eastAsia"/>
        </w:rPr>
        <w:t>第二次摊晾回潮</w:t>
      </w:r>
    </w:p>
    <w:p w14:paraId="67D67DA8">
      <w:pPr>
        <w:pStyle w:val="23"/>
        <w:ind w:firstLine="420" w:firstLineChars="200"/>
      </w:pPr>
      <w:r>
        <w:rPr>
          <w:rFonts w:hint="eastAsia"/>
        </w:rPr>
        <w:t>采用6CH-60、6CL-100型回潮机，叶层厚度≥25 cm，时间≥30 min，回潮至叶质柔软。</w:t>
      </w:r>
      <w:r>
        <w:cr/>
      </w:r>
    </w:p>
    <w:p w14:paraId="2FEDA17A">
      <w:pPr>
        <w:pStyle w:val="62"/>
        <w:numPr>
          <w:ilvl w:val="0"/>
          <w:numId w:val="0"/>
        </w:numPr>
        <w:rPr>
          <w:rFonts w:ascii="Times New Roman"/>
        </w:rPr>
      </w:pPr>
      <w:r>
        <w:rPr>
          <w:rFonts w:hint="eastAsia" w:ascii="黑体" w:eastAsia="黑体"/>
          <w:lang w:val="en-US" w:eastAsia="zh-CN"/>
        </w:rPr>
        <w:t>6</w:t>
      </w:r>
      <w:r>
        <w:rPr>
          <w:rFonts w:ascii="黑体" w:eastAsia="黑体"/>
        </w:rPr>
        <w:t xml:space="preserve">.7 </w:t>
      </w:r>
      <w:r>
        <w:rPr>
          <w:rFonts w:hint="eastAsia" w:ascii="黑体" w:eastAsia="黑体"/>
        </w:rPr>
        <w:t xml:space="preserve">复烘 </w:t>
      </w:r>
    </w:p>
    <w:p w14:paraId="3A3B9ACB">
      <w:pPr>
        <w:pStyle w:val="62"/>
        <w:numPr>
          <w:ilvl w:val="0"/>
          <w:numId w:val="0"/>
        </w:numPr>
        <w:ind w:firstLine="420" w:firstLineChars="200"/>
      </w:pPr>
      <w:r>
        <w:rPr>
          <w:rFonts w:hint="eastAsia"/>
        </w:rPr>
        <w:t>采用</w:t>
      </w:r>
      <w:r>
        <w:rPr>
          <w:rFonts w:ascii="Times New Roman"/>
        </w:rPr>
        <w:t>110</w:t>
      </w:r>
      <w:r>
        <w:rPr>
          <w:rFonts w:hint="eastAsia" w:ascii="Times New Roman"/>
        </w:rPr>
        <w:t>-</w:t>
      </w:r>
      <w:r>
        <w:rPr>
          <w:rFonts w:ascii="Times New Roman"/>
        </w:rPr>
        <w:t>120</w:t>
      </w:r>
      <w:r>
        <w:t>℃</w:t>
      </w:r>
      <w:r>
        <w:rPr>
          <w:rFonts w:hint="eastAsia"/>
        </w:rPr>
        <w:t>温度，烘至茶叶</w:t>
      </w:r>
      <w:r>
        <w:t>含水量10%～15%，叶质略硬，不断碎。</w:t>
      </w:r>
    </w:p>
    <w:p w14:paraId="520ED612">
      <w:pPr>
        <w:pStyle w:val="62"/>
        <w:numPr>
          <w:ilvl w:val="0"/>
          <w:numId w:val="0"/>
        </w:numPr>
        <w:rPr>
          <w:rFonts w:ascii="黑体" w:eastAsia="黑体"/>
        </w:rPr>
      </w:pPr>
    </w:p>
    <w:p w14:paraId="218DFCF1">
      <w:pPr>
        <w:pStyle w:val="62"/>
        <w:numPr>
          <w:ilvl w:val="0"/>
          <w:numId w:val="0"/>
        </w:numPr>
        <w:rPr>
          <w:rFonts w:ascii="黑体" w:eastAsia="黑体"/>
        </w:rPr>
      </w:pPr>
      <w:r>
        <w:rPr>
          <w:rFonts w:hint="eastAsia" w:ascii="黑体" w:eastAsia="黑体"/>
          <w:lang w:val="en-US" w:eastAsia="zh-CN"/>
        </w:rPr>
        <w:t>6</w:t>
      </w:r>
      <w:r>
        <w:rPr>
          <w:rFonts w:ascii="黑体" w:eastAsia="黑体"/>
        </w:rPr>
        <w:t xml:space="preserve">.8 </w:t>
      </w:r>
      <w:r>
        <w:rPr>
          <w:rFonts w:hint="eastAsia" w:ascii="黑体" w:eastAsia="黑体"/>
        </w:rPr>
        <w:t>第三次摊晾回潮</w:t>
      </w:r>
    </w:p>
    <w:p w14:paraId="38D3872F">
      <w:pPr>
        <w:pStyle w:val="23"/>
        <w:ind w:firstLine="420" w:firstLineChars="200"/>
      </w:pPr>
      <w:r>
        <w:rPr>
          <w:rFonts w:hint="eastAsia"/>
        </w:rPr>
        <w:t>采用6CH-60、6CL-100型回潮机，叶层厚度≥25 cm，时间≥30 min，回潮至叶质柔软。</w:t>
      </w:r>
      <w:r>
        <w:cr/>
      </w:r>
    </w:p>
    <w:p w14:paraId="165EADB6">
      <w:pPr>
        <w:pStyle w:val="62"/>
        <w:numPr>
          <w:ilvl w:val="0"/>
          <w:numId w:val="0"/>
        </w:numPr>
        <w:rPr>
          <w:rFonts w:ascii="黑体" w:eastAsia="黑体"/>
        </w:rPr>
      </w:pPr>
      <w:r>
        <w:rPr>
          <w:rFonts w:hint="eastAsia" w:ascii="黑体" w:eastAsia="黑体"/>
          <w:lang w:val="en-US" w:eastAsia="zh-CN"/>
        </w:rPr>
        <w:t>6</w:t>
      </w:r>
      <w:r>
        <w:rPr>
          <w:rFonts w:ascii="黑体" w:eastAsia="黑体"/>
        </w:rPr>
        <w:t xml:space="preserve">.9 </w:t>
      </w:r>
      <w:r>
        <w:rPr>
          <w:rFonts w:hint="eastAsia" w:ascii="黑体" w:eastAsia="黑体"/>
        </w:rPr>
        <w:t>变温提香</w:t>
      </w:r>
    </w:p>
    <w:p w14:paraId="32DF0427">
      <w:pPr>
        <w:pStyle w:val="62"/>
        <w:numPr>
          <w:ilvl w:val="0"/>
          <w:numId w:val="0"/>
        </w:numPr>
        <w:ind w:firstLine="420" w:firstLineChars="200"/>
      </w:pPr>
      <w:bookmarkStart w:id="16" w:name="_GoBack"/>
      <w:bookmarkEnd w:id="16"/>
      <w:r>
        <w:rPr>
          <w:rFonts w:hint="eastAsia"/>
        </w:rPr>
        <w:t>采用</w:t>
      </w:r>
      <w:r>
        <w:t>6CFX-70</w:t>
      </w:r>
      <w:r>
        <w:rPr>
          <w:rFonts w:hint="eastAsia"/>
        </w:rPr>
        <w:t>型提香机，先采用</w:t>
      </w:r>
      <w:r>
        <w:t>85</w:t>
      </w:r>
      <w:r>
        <w:rPr>
          <w:rFonts w:hint="eastAsia"/>
        </w:rPr>
        <w:t>-9</w:t>
      </w:r>
      <w:r>
        <w:t>0℃</w:t>
      </w:r>
      <w:r>
        <w:rPr>
          <w:rFonts w:hint="eastAsia"/>
        </w:rPr>
        <w:t>提香2</w:t>
      </w:r>
      <w:r>
        <w:t>0</w:t>
      </w:r>
      <w:r>
        <w:rPr>
          <w:rFonts w:hint="eastAsia"/>
        </w:rPr>
        <w:t>min；之后采用7</w:t>
      </w:r>
      <w:r>
        <w:t>5</w:t>
      </w:r>
      <w:r>
        <w:rPr>
          <w:rFonts w:hint="eastAsia"/>
        </w:rPr>
        <w:t>℃提香</w:t>
      </w:r>
      <w:r>
        <w:t>40</w:t>
      </w:r>
      <w:r>
        <w:rPr>
          <w:rFonts w:hint="eastAsia"/>
        </w:rPr>
        <w:t>min。</w:t>
      </w:r>
    </w:p>
    <w:p w14:paraId="614D5682">
      <w:pPr>
        <w:pStyle w:val="62"/>
        <w:numPr>
          <w:ilvl w:val="0"/>
          <w:numId w:val="0"/>
        </w:numPr>
        <w:rPr>
          <w:rFonts w:ascii="Times New Roman"/>
        </w:rPr>
      </w:pPr>
    </w:p>
    <w:p w14:paraId="502A0125">
      <w:pPr>
        <w:pStyle w:val="44"/>
        <w:numPr>
          <w:ilvl w:val="0"/>
          <w:numId w:val="0"/>
        </w:numPr>
        <w:spacing w:before="312" w:after="312"/>
        <w:ind w:leftChars="0"/>
        <w:rPr>
          <w:rFonts w:ascii="Times New Roman" w:hAnsi="Times New Roman" w:cs="Times New Roman"/>
        </w:rPr>
      </w:pPr>
      <w:r>
        <w:rPr>
          <w:rFonts w:hint="eastAsia" w:ascii="Times New Roman" w:hAnsi="Times New Roman" w:cs="Times New Roman"/>
          <w:lang w:val="en-US" w:eastAsia="zh-CN"/>
        </w:rPr>
        <w:t>7</w:t>
      </w:r>
      <w:r>
        <w:rPr>
          <w:rFonts w:hint="eastAsia" w:ascii="Times New Roman" w:hAnsi="Times New Roman" w:cs="Times New Roman"/>
        </w:rPr>
        <w:t xml:space="preserve"> 成品茶质量管理</w:t>
      </w:r>
    </w:p>
    <w:p w14:paraId="4614F961">
      <w:pPr>
        <w:pStyle w:val="62"/>
        <w:numPr>
          <w:ilvl w:val="0"/>
          <w:numId w:val="0"/>
        </w:numPr>
        <w:rPr>
          <w:rFonts w:ascii="Times New Roman"/>
        </w:rPr>
      </w:pPr>
      <w:r>
        <w:rPr>
          <w:rFonts w:hint="eastAsia"/>
          <w:lang w:val="en-US" w:eastAsia="zh-CN"/>
        </w:rPr>
        <w:t>7</w:t>
      </w:r>
      <w:r>
        <w:rPr>
          <w:szCs w:val="20"/>
        </w:rPr>
        <w:t>.1</w:t>
      </w:r>
      <w:r>
        <w:rPr>
          <w:rFonts w:hint="eastAsia" w:ascii="Times New Roman"/>
        </w:rPr>
        <w:t>成品茶应符合</w:t>
      </w:r>
      <w:r>
        <w:rPr>
          <w:rFonts w:ascii="Times New Roman"/>
        </w:rPr>
        <w:t xml:space="preserve">GB/T </w:t>
      </w:r>
      <w:r>
        <w:rPr>
          <w:rFonts w:hint="eastAsia" w:ascii="Times New Roman"/>
        </w:rPr>
        <w:t>14456绿茶的品质要求。</w:t>
      </w:r>
    </w:p>
    <w:p w14:paraId="76AB648F">
      <w:pPr>
        <w:pStyle w:val="62"/>
        <w:numPr>
          <w:ilvl w:val="0"/>
          <w:numId w:val="0"/>
        </w:numPr>
        <w:rPr>
          <w:rFonts w:ascii="Times New Roman" w:eastAsia="黑体"/>
        </w:rPr>
      </w:pPr>
      <w:r>
        <w:rPr>
          <w:rFonts w:hint="eastAsia"/>
          <w:lang w:val="en-US" w:eastAsia="zh-CN"/>
        </w:rPr>
        <w:t>7</w:t>
      </w:r>
      <w:r>
        <w:rPr>
          <w:szCs w:val="20"/>
        </w:rPr>
        <w:t>.2</w:t>
      </w:r>
      <w:r>
        <w:rPr>
          <w:rFonts w:hint="eastAsia" w:ascii="Times New Roman"/>
        </w:rPr>
        <w:t>加工企业应制定和实施质量管理措施，关键工艺应有操作要求和检验方法。建立原料采购、加工、贮存的档案记录。</w:t>
      </w:r>
    </w:p>
    <w:p w14:paraId="5980411B">
      <w:pPr>
        <w:pStyle w:val="62"/>
        <w:numPr>
          <w:ilvl w:val="0"/>
          <w:numId w:val="0"/>
        </w:numPr>
        <w:rPr>
          <w:rFonts w:ascii="Times New Roman"/>
        </w:rPr>
      </w:pPr>
    </w:p>
    <w:p w14:paraId="75313F2F">
      <w:pPr>
        <w:widowControl/>
        <w:spacing w:line="247" w:lineRule="exact"/>
        <w:jc w:val="left"/>
        <w:rPr>
          <w:rFonts w:eastAsia="黑体"/>
          <w:kern w:val="0"/>
          <w:szCs w:val="21"/>
        </w:rPr>
      </w:pPr>
    </w:p>
    <w:p w14:paraId="25ECF719">
      <w:pPr>
        <w:widowControl/>
        <w:spacing w:line="247" w:lineRule="exact"/>
        <w:jc w:val="left"/>
        <w:rPr>
          <w:rFonts w:eastAsia="黑体"/>
          <w:kern w:val="0"/>
          <w:szCs w:val="21"/>
        </w:rPr>
      </w:pPr>
    </w:p>
    <w:p w14:paraId="33B3DE2D">
      <w:pPr>
        <w:widowControl/>
        <w:spacing w:line="247" w:lineRule="exact"/>
        <w:jc w:val="left"/>
        <w:rPr>
          <w:rFonts w:eastAsia="黑体"/>
          <w:kern w:val="0"/>
          <w:szCs w:val="21"/>
        </w:rPr>
      </w:pPr>
    </w:p>
    <w:p w14:paraId="2D79E614">
      <w:pPr>
        <w:widowControl/>
        <w:spacing w:line="247" w:lineRule="exact"/>
        <w:jc w:val="left"/>
        <w:rPr>
          <w:rFonts w:eastAsia="黑体"/>
          <w:kern w:val="0"/>
          <w:szCs w:val="21"/>
        </w:rPr>
      </w:pPr>
    </w:p>
    <w:p w14:paraId="3BE95179">
      <w:pPr>
        <w:widowControl/>
        <w:spacing w:line="247" w:lineRule="exact"/>
        <w:jc w:val="left"/>
        <w:rPr>
          <w:rFonts w:eastAsia="黑体"/>
          <w:kern w:val="0"/>
          <w:szCs w:val="21"/>
        </w:rPr>
      </w:pPr>
    </w:p>
    <w:p w14:paraId="382E9739">
      <w:pPr>
        <w:widowControl/>
        <w:spacing w:line="247" w:lineRule="exact"/>
        <w:jc w:val="left"/>
        <w:rPr>
          <w:rFonts w:eastAsia="黑体"/>
          <w:kern w:val="0"/>
          <w:szCs w:val="21"/>
        </w:rPr>
      </w:pPr>
    </w:p>
    <w:p w14:paraId="67D08DEF">
      <w:pPr>
        <w:widowControl/>
        <w:spacing w:line="247" w:lineRule="exact"/>
        <w:jc w:val="left"/>
        <w:rPr>
          <w:rFonts w:eastAsia="黑体"/>
          <w:kern w:val="0"/>
          <w:szCs w:val="21"/>
        </w:rPr>
      </w:pPr>
    </w:p>
    <w:p w14:paraId="4D083663">
      <w:pPr>
        <w:widowControl/>
        <w:spacing w:line="247" w:lineRule="exact"/>
        <w:jc w:val="left"/>
        <w:rPr>
          <w:rFonts w:eastAsia="黑体"/>
          <w:kern w:val="0"/>
          <w:szCs w:val="21"/>
        </w:rPr>
      </w:pPr>
    </w:p>
    <w:p w14:paraId="75667A9B">
      <w:pPr>
        <w:widowControl/>
        <w:spacing w:line="247" w:lineRule="exact"/>
        <w:jc w:val="left"/>
        <w:rPr>
          <w:rFonts w:eastAsia="黑体"/>
          <w:kern w:val="0"/>
          <w:szCs w:val="21"/>
        </w:rPr>
      </w:pPr>
    </w:p>
    <w:p w14:paraId="15B7E9AF">
      <w:pPr>
        <w:widowControl/>
        <w:spacing w:line="247" w:lineRule="exact"/>
        <w:jc w:val="left"/>
        <w:rPr>
          <w:rFonts w:eastAsia="黑体"/>
          <w:kern w:val="0"/>
          <w:szCs w:val="21"/>
        </w:rPr>
      </w:pPr>
    </w:p>
    <w:p w14:paraId="131F4EDE">
      <w:pPr>
        <w:widowControl/>
        <w:spacing w:line="247" w:lineRule="exact"/>
        <w:jc w:val="left"/>
        <w:rPr>
          <w:rFonts w:eastAsia="黑体"/>
          <w:kern w:val="0"/>
          <w:szCs w:val="21"/>
        </w:rPr>
      </w:pPr>
    </w:p>
    <w:p w14:paraId="5DF8BFFC">
      <w:pPr>
        <w:widowControl/>
        <w:spacing w:line="247" w:lineRule="exact"/>
        <w:jc w:val="left"/>
        <w:rPr>
          <w:rFonts w:eastAsia="黑体"/>
          <w:kern w:val="0"/>
          <w:szCs w:val="21"/>
        </w:rPr>
      </w:pPr>
    </w:p>
    <w:p w14:paraId="6218EACA">
      <w:pPr>
        <w:widowControl/>
        <w:spacing w:line="247" w:lineRule="exact"/>
        <w:jc w:val="left"/>
        <w:rPr>
          <w:rFonts w:eastAsia="黑体"/>
          <w:kern w:val="0"/>
          <w:szCs w:val="21"/>
        </w:rPr>
      </w:pPr>
    </w:p>
    <w:p w14:paraId="4D913E88">
      <w:pPr>
        <w:widowControl/>
        <w:spacing w:line="247" w:lineRule="exact"/>
        <w:jc w:val="left"/>
        <w:rPr>
          <w:rFonts w:eastAsia="黑体"/>
          <w:kern w:val="0"/>
          <w:szCs w:val="21"/>
        </w:rPr>
      </w:pPr>
    </w:p>
    <w:p w14:paraId="49B03C10">
      <w:pPr>
        <w:widowControl/>
        <w:spacing w:line="247" w:lineRule="exact"/>
        <w:jc w:val="left"/>
        <w:rPr>
          <w:rFonts w:eastAsia="黑体"/>
          <w:kern w:val="0"/>
          <w:szCs w:val="21"/>
        </w:rPr>
      </w:pPr>
    </w:p>
    <w:p w14:paraId="29F0D285">
      <w:pPr>
        <w:widowControl/>
        <w:spacing w:line="247" w:lineRule="exact"/>
        <w:jc w:val="left"/>
        <w:rPr>
          <w:rFonts w:eastAsia="黑体"/>
          <w:kern w:val="0"/>
          <w:szCs w:val="21"/>
        </w:rPr>
      </w:pPr>
    </w:p>
    <w:p w14:paraId="43252254">
      <w:pPr>
        <w:widowControl/>
        <w:spacing w:line="247" w:lineRule="exact"/>
        <w:jc w:val="left"/>
        <w:rPr>
          <w:rFonts w:eastAsia="黑体"/>
          <w:kern w:val="0"/>
          <w:szCs w:val="21"/>
        </w:rPr>
      </w:pPr>
    </w:p>
    <w:p w14:paraId="70178479">
      <w:pPr>
        <w:widowControl/>
        <w:spacing w:line="247" w:lineRule="exact"/>
        <w:jc w:val="left"/>
        <w:rPr>
          <w:rFonts w:eastAsia="黑体"/>
          <w:kern w:val="0"/>
          <w:szCs w:val="21"/>
        </w:rPr>
      </w:pPr>
    </w:p>
    <w:p w14:paraId="37B9B061">
      <w:pPr>
        <w:widowControl/>
        <w:spacing w:line="247" w:lineRule="exact"/>
        <w:jc w:val="left"/>
        <w:rPr>
          <w:rFonts w:eastAsia="黑体"/>
          <w:kern w:val="0"/>
          <w:szCs w:val="21"/>
        </w:rPr>
      </w:pPr>
    </w:p>
    <w:sectPr>
      <w:headerReference r:id="rId3" w:type="default"/>
      <w:footerReference r:id="rId4" w:type="default"/>
      <w:pgSz w:w="11906" w:h="16838"/>
      <w:pgMar w:top="567" w:right="1134" w:bottom="1134" w:left="1418"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5C5CB">
    <w:pPr>
      <w:pStyle w:val="42"/>
    </w:pPr>
    <w:r>
      <w:fldChar w:fldCharType="begin"/>
    </w:r>
    <w:r>
      <w:instrText xml:space="preserve"> PAGE  \* MERGEFORMAT </w:instrText>
    </w:r>
    <w:r>
      <w:fldChar w:fldCharType="separate"/>
    </w:r>
    <w: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D7FBF">
    <w:pPr>
      <w:pStyle w:val="43"/>
    </w:pPr>
    <w:r>
      <w:t>DB34/ T—202X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102AD"/>
    <w:multiLevelType w:val="multilevel"/>
    <w:tmpl w:val="079102AD"/>
    <w:lvl w:ilvl="0" w:tentative="0">
      <w:start w:val="1"/>
      <w:numFmt w:val="decimal"/>
      <w:pStyle w:val="57"/>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93C6778"/>
    <w:multiLevelType w:val="multilevel"/>
    <w:tmpl w:val="093C6778"/>
    <w:lvl w:ilvl="0" w:tentative="0">
      <w:start w:val="1"/>
      <w:numFmt w:val="decimal"/>
      <w:pStyle w:val="115"/>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AE367E9"/>
    <w:multiLevelType w:val="multilevel"/>
    <w:tmpl w:val="0AE367E9"/>
    <w:lvl w:ilvl="0" w:tentative="0">
      <w:start w:val="1"/>
      <w:numFmt w:val="none"/>
      <w:pStyle w:val="51"/>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3">
    <w:nsid w:val="0DDE2B46"/>
    <w:multiLevelType w:val="multilevel"/>
    <w:tmpl w:val="0DDE2B46"/>
    <w:lvl w:ilvl="0" w:tentative="0">
      <w:start w:val="1"/>
      <w:numFmt w:val="lowerLetter"/>
      <w:pStyle w:val="120"/>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1DBF583A"/>
    <w:multiLevelType w:val="multilevel"/>
    <w:tmpl w:val="1DBF583A"/>
    <w:lvl w:ilvl="0" w:tentative="0">
      <w:start w:val="1"/>
      <w:numFmt w:val="decimal"/>
      <w:pStyle w:val="64"/>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5">
    <w:nsid w:val="1FC91163"/>
    <w:multiLevelType w:val="multilevel"/>
    <w:tmpl w:val="1FC91163"/>
    <w:lvl w:ilvl="0" w:tentative="0">
      <w:start w:val="1"/>
      <w:numFmt w:val="decimal"/>
      <w:pStyle w:val="44"/>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1"/>
      <w:suff w:val="nothing"/>
      <w:lvlText w:val="%1.%2　"/>
      <w:lvlJc w:val="left"/>
      <w:rPr>
        <w:rFonts w:hint="default" w:ascii="Times New Roman"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45"/>
      <w:suff w:val="nothing"/>
      <w:lvlText w:val="%1.%2.%3　"/>
      <w:lvlJc w:val="left"/>
      <w:pPr>
        <w:ind w:left="2551" w:firstLine="0"/>
      </w:pPr>
      <w:rPr>
        <w:rFonts w:hint="eastAsia" w:ascii="黑体" w:hAnsi="Times New Roman" w:eastAsia="黑体"/>
        <w:b w:val="0"/>
        <w:i w:val="0"/>
        <w:sz w:val="21"/>
      </w:rPr>
    </w:lvl>
    <w:lvl w:ilvl="3" w:tentative="0">
      <w:start w:val="1"/>
      <w:numFmt w:val="decimal"/>
      <w:pStyle w:val="50"/>
      <w:suff w:val="nothing"/>
      <w:lvlText w:val="%1.%2.%3.%4　"/>
      <w:lvlJc w:val="left"/>
      <w:pPr>
        <w:ind w:left="0" w:firstLine="0"/>
      </w:pPr>
      <w:rPr>
        <w:rFonts w:hint="eastAsia" w:ascii="黑体" w:hAnsi="Times New Roman" w:eastAsia="黑体"/>
        <w:b w:val="0"/>
        <w:i w:val="0"/>
        <w:sz w:val="21"/>
      </w:rPr>
    </w:lvl>
    <w:lvl w:ilvl="4" w:tentative="0">
      <w:start w:val="1"/>
      <w:numFmt w:val="decimal"/>
      <w:pStyle w:val="54"/>
      <w:suff w:val="nothing"/>
      <w:lvlText w:val="%1.%2.%3.%4.%5　"/>
      <w:lvlJc w:val="left"/>
      <w:pPr>
        <w:ind w:left="0" w:firstLine="0"/>
      </w:pPr>
      <w:rPr>
        <w:rFonts w:hint="eastAsia" w:ascii="黑体" w:hAnsi="Times New Roman" w:eastAsia="黑体"/>
        <w:b w:val="0"/>
        <w:i w:val="0"/>
        <w:sz w:val="21"/>
      </w:rPr>
    </w:lvl>
    <w:lvl w:ilvl="5" w:tentative="0">
      <w:start w:val="1"/>
      <w:numFmt w:val="decimal"/>
      <w:pStyle w:val="55"/>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A8F7113"/>
    <w:multiLevelType w:val="multilevel"/>
    <w:tmpl w:val="2A8F7113"/>
    <w:lvl w:ilvl="0" w:tentative="0">
      <w:start w:val="1"/>
      <w:numFmt w:val="upperLetter"/>
      <w:pStyle w:val="97"/>
      <w:suff w:val="space"/>
      <w:lvlText w:val="%1"/>
      <w:lvlJc w:val="left"/>
      <w:pPr>
        <w:ind w:left="623" w:hanging="425"/>
      </w:pPr>
      <w:rPr>
        <w:rFonts w:hint="eastAsia"/>
      </w:rPr>
    </w:lvl>
    <w:lvl w:ilvl="1" w:tentative="0">
      <w:start w:val="1"/>
      <w:numFmt w:val="decimal"/>
      <w:pStyle w:val="98"/>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7">
    <w:nsid w:val="2C5917C3"/>
    <w:multiLevelType w:val="multilevel"/>
    <w:tmpl w:val="2C5917C3"/>
    <w:lvl w:ilvl="0" w:tentative="0">
      <w:start w:val="1"/>
      <w:numFmt w:val="none"/>
      <w:pStyle w:val="47"/>
      <w:suff w:val="nothing"/>
      <w:lvlText w:val="%1——"/>
      <w:lvlJc w:val="left"/>
      <w:pPr>
        <w:ind w:left="833" w:hanging="408"/>
      </w:pPr>
      <w:rPr>
        <w:rFonts w:hint="eastAsia"/>
      </w:rPr>
    </w:lvl>
    <w:lvl w:ilvl="1" w:tentative="0">
      <w:start w:val="1"/>
      <w:numFmt w:val="bullet"/>
      <w:pStyle w:val="48"/>
      <w:lvlText w:val=""/>
      <w:lvlJc w:val="left"/>
      <w:pPr>
        <w:tabs>
          <w:tab w:val="left" w:pos="760"/>
        </w:tabs>
        <w:ind w:left="1264" w:hanging="413"/>
      </w:pPr>
      <w:rPr>
        <w:rFonts w:hint="default" w:ascii="Symbol" w:hAnsi="Symbol"/>
        <w:color w:val="auto"/>
      </w:rPr>
    </w:lvl>
    <w:lvl w:ilvl="2" w:tentative="0">
      <w:start w:val="1"/>
      <w:numFmt w:val="bullet"/>
      <w:pStyle w:val="59"/>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8">
    <w:nsid w:val="3D733618"/>
    <w:multiLevelType w:val="multilevel"/>
    <w:tmpl w:val="3D733618"/>
    <w:lvl w:ilvl="0" w:tentative="0">
      <w:start w:val="1"/>
      <w:numFmt w:val="decimal"/>
      <w:pStyle w:val="24"/>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9">
    <w:nsid w:val="44C50F90"/>
    <w:multiLevelType w:val="multilevel"/>
    <w:tmpl w:val="44C50F90"/>
    <w:lvl w:ilvl="0" w:tentative="0">
      <w:start w:val="1"/>
      <w:numFmt w:val="lowerLetter"/>
      <w:pStyle w:val="58"/>
      <w:lvlText w:val="%1)"/>
      <w:lvlJc w:val="left"/>
      <w:pPr>
        <w:tabs>
          <w:tab w:val="left" w:pos="840"/>
        </w:tabs>
        <w:ind w:left="839" w:hanging="419"/>
      </w:pPr>
      <w:rPr>
        <w:rFonts w:hint="eastAsia" w:ascii="宋体" w:eastAsia="宋体"/>
        <w:b w:val="0"/>
        <w:i w:val="0"/>
        <w:sz w:val="21"/>
        <w:szCs w:val="21"/>
      </w:rPr>
    </w:lvl>
    <w:lvl w:ilvl="1" w:tentative="0">
      <w:start w:val="1"/>
      <w:numFmt w:val="decimal"/>
      <w:pStyle w:val="53"/>
      <w:lvlText w:val="%2)"/>
      <w:lvlJc w:val="left"/>
      <w:pPr>
        <w:tabs>
          <w:tab w:val="left" w:pos="1260"/>
        </w:tabs>
        <w:ind w:left="1259" w:hanging="419"/>
      </w:pPr>
      <w:rPr>
        <w:rFonts w:hint="eastAsia"/>
      </w:rPr>
    </w:lvl>
    <w:lvl w:ilvl="2" w:tentative="0">
      <w:start w:val="1"/>
      <w:numFmt w:val="decimal"/>
      <w:pStyle w:val="60"/>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0">
    <w:nsid w:val="4B733A5F"/>
    <w:multiLevelType w:val="multilevel"/>
    <w:tmpl w:val="4B733A5F"/>
    <w:lvl w:ilvl="0" w:tentative="0">
      <w:start w:val="1"/>
      <w:numFmt w:val="decimal"/>
      <w:pStyle w:val="61"/>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1">
    <w:nsid w:val="557C2AF5"/>
    <w:multiLevelType w:val="multilevel"/>
    <w:tmpl w:val="557C2AF5"/>
    <w:lvl w:ilvl="0" w:tentative="0">
      <w:start w:val="1"/>
      <w:numFmt w:val="decimal"/>
      <w:pStyle w:val="12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60B55DC2"/>
    <w:multiLevelType w:val="multilevel"/>
    <w:tmpl w:val="60B55DC2"/>
    <w:lvl w:ilvl="0" w:tentative="0">
      <w:start w:val="1"/>
      <w:numFmt w:val="upperLetter"/>
      <w:pStyle w:val="85"/>
      <w:lvlText w:val="%1"/>
      <w:lvlJc w:val="left"/>
      <w:pPr>
        <w:tabs>
          <w:tab w:val="left" w:pos="0"/>
        </w:tabs>
        <w:ind w:left="0" w:hanging="425"/>
      </w:pPr>
      <w:rPr>
        <w:rFonts w:hint="eastAsia"/>
      </w:rPr>
    </w:lvl>
    <w:lvl w:ilvl="1" w:tentative="0">
      <w:start w:val="1"/>
      <w:numFmt w:val="decimal"/>
      <w:pStyle w:val="86"/>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3">
    <w:nsid w:val="646260FA"/>
    <w:multiLevelType w:val="multilevel"/>
    <w:tmpl w:val="646260FA"/>
    <w:lvl w:ilvl="0" w:tentative="0">
      <w:start w:val="1"/>
      <w:numFmt w:val="decimal"/>
      <w:pStyle w:val="125"/>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657D3FBC"/>
    <w:multiLevelType w:val="multilevel"/>
    <w:tmpl w:val="657D3FBC"/>
    <w:lvl w:ilvl="0" w:tentative="0">
      <w:start w:val="1"/>
      <w:numFmt w:val="upperLetter"/>
      <w:pStyle w:val="83"/>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01"/>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2"/>
      <w:suff w:val="nothing"/>
      <w:lvlText w:val="%1.%2.%3　"/>
      <w:lvlJc w:val="left"/>
      <w:pPr>
        <w:ind w:left="0" w:firstLine="0"/>
      </w:pPr>
      <w:rPr>
        <w:rFonts w:hint="eastAsia" w:ascii="黑体" w:hAnsi="Times New Roman" w:eastAsia="黑体"/>
        <w:b w:val="0"/>
        <w:i w:val="0"/>
        <w:sz w:val="21"/>
      </w:rPr>
    </w:lvl>
    <w:lvl w:ilvl="3" w:tentative="0">
      <w:start w:val="1"/>
      <w:numFmt w:val="decimal"/>
      <w:pStyle w:val="87"/>
      <w:suff w:val="nothing"/>
      <w:lvlText w:val="%1.%2.%3.%4　"/>
      <w:lvlJc w:val="left"/>
      <w:pPr>
        <w:ind w:left="0" w:firstLine="0"/>
      </w:pPr>
      <w:rPr>
        <w:rFonts w:hint="eastAsia" w:ascii="黑体" w:hAnsi="Times New Roman" w:eastAsia="黑体"/>
        <w:b w:val="0"/>
        <w:i w:val="0"/>
        <w:sz w:val="21"/>
      </w:rPr>
    </w:lvl>
    <w:lvl w:ilvl="4" w:tentative="0">
      <w:start w:val="1"/>
      <w:numFmt w:val="decimal"/>
      <w:pStyle w:val="92"/>
      <w:suff w:val="nothing"/>
      <w:lvlText w:val="%1.%2.%3.%4.%5　"/>
      <w:lvlJc w:val="left"/>
      <w:pPr>
        <w:ind w:left="0" w:firstLine="0"/>
      </w:pPr>
      <w:rPr>
        <w:rFonts w:hint="eastAsia" w:ascii="黑体" w:hAnsi="Times New Roman" w:eastAsia="黑体"/>
        <w:b w:val="0"/>
        <w:i w:val="0"/>
        <w:sz w:val="21"/>
      </w:rPr>
    </w:lvl>
    <w:lvl w:ilvl="5" w:tentative="0">
      <w:start w:val="1"/>
      <w:numFmt w:val="decimal"/>
      <w:pStyle w:val="95"/>
      <w:suff w:val="nothing"/>
      <w:lvlText w:val="%1.%2.%3.%4.%5.%6　"/>
      <w:lvlJc w:val="left"/>
      <w:pPr>
        <w:ind w:left="0" w:firstLine="0"/>
      </w:pPr>
      <w:rPr>
        <w:rFonts w:hint="eastAsia" w:ascii="黑体" w:hAnsi="Times New Roman" w:eastAsia="黑体"/>
        <w:b w:val="0"/>
        <w:i w:val="0"/>
        <w:sz w:val="21"/>
      </w:rPr>
    </w:lvl>
    <w:lvl w:ilvl="6" w:tentative="0">
      <w:start w:val="1"/>
      <w:numFmt w:val="decimal"/>
      <w:pStyle w:val="9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D6C07CD"/>
    <w:multiLevelType w:val="multilevel"/>
    <w:tmpl w:val="6D6C07CD"/>
    <w:lvl w:ilvl="0" w:tentative="0">
      <w:start w:val="1"/>
      <w:numFmt w:val="lowerLetter"/>
      <w:pStyle w:val="104"/>
      <w:lvlText w:val="%1)"/>
      <w:lvlJc w:val="left"/>
      <w:pPr>
        <w:tabs>
          <w:tab w:val="left" w:pos="839"/>
        </w:tabs>
        <w:ind w:left="839" w:hanging="419"/>
      </w:pPr>
      <w:rPr>
        <w:rFonts w:hint="eastAsia" w:ascii="宋体" w:eastAsia="宋体"/>
        <w:b w:val="0"/>
        <w:i w:val="0"/>
        <w:sz w:val="21"/>
      </w:rPr>
    </w:lvl>
    <w:lvl w:ilvl="1" w:tentative="0">
      <w:start w:val="1"/>
      <w:numFmt w:val="decimal"/>
      <w:pStyle w:val="94"/>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6">
    <w:nsid w:val="6DBF04F4"/>
    <w:multiLevelType w:val="multilevel"/>
    <w:tmpl w:val="6DBF04F4"/>
    <w:lvl w:ilvl="0" w:tentative="0">
      <w:start w:val="1"/>
      <w:numFmt w:val="none"/>
      <w:pStyle w:val="56"/>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8"/>
  </w:num>
  <w:num w:numId="2">
    <w:abstractNumId w:val="5"/>
  </w:num>
  <w:num w:numId="3">
    <w:abstractNumId w:val="7"/>
  </w:num>
  <w:num w:numId="4">
    <w:abstractNumId w:val="2"/>
  </w:num>
  <w:num w:numId="5">
    <w:abstractNumId w:val="9"/>
  </w:num>
  <w:num w:numId="6">
    <w:abstractNumId w:val="16"/>
  </w:num>
  <w:num w:numId="7">
    <w:abstractNumId w:val="0"/>
  </w:num>
  <w:num w:numId="8">
    <w:abstractNumId w:val="10"/>
  </w:num>
  <w:num w:numId="9">
    <w:abstractNumId w:val="4"/>
  </w:num>
  <w:num w:numId="10">
    <w:abstractNumId w:val="14"/>
  </w:num>
  <w:num w:numId="11">
    <w:abstractNumId w:val="12"/>
  </w:num>
  <w:num w:numId="12">
    <w:abstractNumId w:val="15"/>
  </w:num>
  <w:num w:numId="13">
    <w:abstractNumId w:val="6"/>
  </w:num>
  <w:num w:numId="14">
    <w:abstractNumId w:val="1"/>
  </w:num>
  <w:num w:numId="15">
    <w:abstractNumId w:val="3"/>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ljNDFlMDY3NDYyNWM4ZDA4YWQ5N2Q5NWQ1MGQzZTQifQ=="/>
  </w:docVars>
  <w:rsids>
    <w:rsidRoot w:val="00035925"/>
    <w:rsid w:val="00000244"/>
    <w:rsid w:val="0000185F"/>
    <w:rsid w:val="00002E13"/>
    <w:rsid w:val="0000586F"/>
    <w:rsid w:val="0001171D"/>
    <w:rsid w:val="00013BA6"/>
    <w:rsid w:val="00013D86"/>
    <w:rsid w:val="00013E02"/>
    <w:rsid w:val="000163B0"/>
    <w:rsid w:val="0002143C"/>
    <w:rsid w:val="00022E4F"/>
    <w:rsid w:val="00025A65"/>
    <w:rsid w:val="00026C31"/>
    <w:rsid w:val="00027280"/>
    <w:rsid w:val="000320A7"/>
    <w:rsid w:val="00032EFC"/>
    <w:rsid w:val="000354CC"/>
    <w:rsid w:val="00035925"/>
    <w:rsid w:val="00036636"/>
    <w:rsid w:val="000417FE"/>
    <w:rsid w:val="00042294"/>
    <w:rsid w:val="00067CDF"/>
    <w:rsid w:val="00070AF5"/>
    <w:rsid w:val="00074D89"/>
    <w:rsid w:val="00074FBE"/>
    <w:rsid w:val="00075FD7"/>
    <w:rsid w:val="00076CF8"/>
    <w:rsid w:val="0007752A"/>
    <w:rsid w:val="00077AEE"/>
    <w:rsid w:val="0008111D"/>
    <w:rsid w:val="00083A09"/>
    <w:rsid w:val="0009005E"/>
    <w:rsid w:val="00092857"/>
    <w:rsid w:val="00093450"/>
    <w:rsid w:val="000958D4"/>
    <w:rsid w:val="000977A9"/>
    <w:rsid w:val="000A0E4E"/>
    <w:rsid w:val="000A20A9"/>
    <w:rsid w:val="000A48B1"/>
    <w:rsid w:val="000A732F"/>
    <w:rsid w:val="000B3143"/>
    <w:rsid w:val="000B6640"/>
    <w:rsid w:val="000B7BD1"/>
    <w:rsid w:val="000C6B05"/>
    <w:rsid w:val="000C6DD6"/>
    <w:rsid w:val="000C73D4"/>
    <w:rsid w:val="000C7CF1"/>
    <w:rsid w:val="000D10F9"/>
    <w:rsid w:val="000D3D4C"/>
    <w:rsid w:val="000D4F51"/>
    <w:rsid w:val="000D718B"/>
    <w:rsid w:val="000E0C46"/>
    <w:rsid w:val="000E335E"/>
    <w:rsid w:val="000E6570"/>
    <w:rsid w:val="000F030C"/>
    <w:rsid w:val="000F0938"/>
    <w:rsid w:val="000F129C"/>
    <w:rsid w:val="000F7B09"/>
    <w:rsid w:val="0010513D"/>
    <w:rsid w:val="001056DE"/>
    <w:rsid w:val="00107EF6"/>
    <w:rsid w:val="001124C0"/>
    <w:rsid w:val="00114037"/>
    <w:rsid w:val="00117B2D"/>
    <w:rsid w:val="00125FBB"/>
    <w:rsid w:val="001269A0"/>
    <w:rsid w:val="00127105"/>
    <w:rsid w:val="001309EB"/>
    <w:rsid w:val="0013175F"/>
    <w:rsid w:val="001342B6"/>
    <w:rsid w:val="00135076"/>
    <w:rsid w:val="00140AA8"/>
    <w:rsid w:val="00141291"/>
    <w:rsid w:val="00145BB3"/>
    <w:rsid w:val="0014607C"/>
    <w:rsid w:val="00146913"/>
    <w:rsid w:val="00146D3F"/>
    <w:rsid w:val="00147F1D"/>
    <w:rsid w:val="001512B4"/>
    <w:rsid w:val="00155B20"/>
    <w:rsid w:val="001601A5"/>
    <w:rsid w:val="00160976"/>
    <w:rsid w:val="00161689"/>
    <w:rsid w:val="001620A5"/>
    <w:rsid w:val="0016429B"/>
    <w:rsid w:val="00164E53"/>
    <w:rsid w:val="0016699D"/>
    <w:rsid w:val="00175159"/>
    <w:rsid w:val="00176208"/>
    <w:rsid w:val="00177B96"/>
    <w:rsid w:val="0018211B"/>
    <w:rsid w:val="001832EC"/>
    <w:rsid w:val="001840D3"/>
    <w:rsid w:val="001900F8"/>
    <w:rsid w:val="00191258"/>
    <w:rsid w:val="00192680"/>
    <w:rsid w:val="00193037"/>
    <w:rsid w:val="00193A2C"/>
    <w:rsid w:val="001A16A1"/>
    <w:rsid w:val="001A288E"/>
    <w:rsid w:val="001A4566"/>
    <w:rsid w:val="001B6DC2"/>
    <w:rsid w:val="001C149C"/>
    <w:rsid w:val="001C21AC"/>
    <w:rsid w:val="001C30A7"/>
    <w:rsid w:val="001C47BA"/>
    <w:rsid w:val="001C59EA"/>
    <w:rsid w:val="001D2179"/>
    <w:rsid w:val="001D406C"/>
    <w:rsid w:val="001D41EE"/>
    <w:rsid w:val="001D4D10"/>
    <w:rsid w:val="001E0380"/>
    <w:rsid w:val="001E13B1"/>
    <w:rsid w:val="001E1B56"/>
    <w:rsid w:val="001E7F0A"/>
    <w:rsid w:val="001F29FB"/>
    <w:rsid w:val="001F3A19"/>
    <w:rsid w:val="00200336"/>
    <w:rsid w:val="002003EA"/>
    <w:rsid w:val="0020679D"/>
    <w:rsid w:val="002174E2"/>
    <w:rsid w:val="00217F35"/>
    <w:rsid w:val="00234467"/>
    <w:rsid w:val="00237D8D"/>
    <w:rsid w:val="00241DA2"/>
    <w:rsid w:val="0024444A"/>
    <w:rsid w:val="0024514F"/>
    <w:rsid w:val="00245800"/>
    <w:rsid w:val="00247FEE"/>
    <w:rsid w:val="00250E7D"/>
    <w:rsid w:val="002513FB"/>
    <w:rsid w:val="002565D5"/>
    <w:rsid w:val="002602F1"/>
    <w:rsid w:val="00261A45"/>
    <w:rsid w:val="002622C0"/>
    <w:rsid w:val="00262E88"/>
    <w:rsid w:val="00276BD5"/>
    <w:rsid w:val="002778AE"/>
    <w:rsid w:val="00280947"/>
    <w:rsid w:val="002811D6"/>
    <w:rsid w:val="0028269A"/>
    <w:rsid w:val="00282827"/>
    <w:rsid w:val="00283590"/>
    <w:rsid w:val="00286973"/>
    <w:rsid w:val="00294DD5"/>
    <w:rsid w:val="00294E70"/>
    <w:rsid w:val="002A1924"/>
    <w:rsid w:val="002A7420"/>
    <w:rsid w:val="002B0AE0"/>
    <w:rsid w:val="002B0F12"/>
    <w:rsid w:val="002B1308"/>
    <w:rsid w:val="002B1DAB"/>
    <w:rsid w:val="002B4554"/>
    <w:rsid w:val="002B6C22"/>
    <w:rsid w:val="002B78BA"/>
    <w:rsid w:val="002C0C3B"/>
    <w:rsid w:val="002C1420"/>
    <w:rsid w:val="002C72D8"/>
    <w:rsid w:val="002D11FA"/>
    <w:rsid w:val="002D49C3"/>
    <w:rsid w:val="002D641C"/>
    <w:rsid w:val="002E0DDF"/>
    <w:rsid w:val="002E2906"/>
    <w:rsid w:val="002E5635"/>
    <w:rsid w:val="002E59D9"/>
    <w:rsid w:val="002E64C3"/>
    <w:rsid w:val="002E6A2C"/>
    <w:rsid w:val="002F06CC"/>
    <w:rsid w:val="002F1D8C"/>
    <w:rsid w:val="002F21DA"/>
    <w:rsid w:val="00301F39"/>
    <w:rsid w:val="00302636"/>
    <w:rsid w:val="00317020"/>
    <w:rsid w:val="00322261"/>
    <w:rsid w:val="00325926"/>
    <w:rsid w:val="00327721"/>
    <w:rsid w:val="00327A8A"/>
    <w:rsid w:val="00336610"/>
    <w:rsid w:val="0034107B"/>
    <w:rsid w:val="00343F73"/>
    <w:rsid w:val="00345060"/>
    <w:rsid w:val="003463DF"/>
    <w:rsid w:val="003474C7"/>
    <w:rsid w:val="0035323B"/>
    <w:rsid w:val="003547E1"/>
    <w:rsid w:val="00354A17"/>
    <w:rsid w:val="003609D2"/>
    <w:rsid w:val="00363F22"/>
    <w:rsid w:val="00363F49"/>
    <w:rsid w:val="00366916"/>
    <w:rsid w:val="0037145E"/>
    <w:rsid w:val="00375564"/>
    <w:rsid w:val="00383191"/>
    <w:rsid w:val="003865BF"/>
    <w:rsid w:val="00386DED"/>
    <w:rsid w:val="003912E7"/>
    <w:rsid w:val="003913CB"/>
    <w:rsid w:val="00393947"/>
    <w:rsid w:val="003A2275"/>
    <w:rsid w:val="003A6A4F"/>
    <w:rsid w:val="003A7088"/>
    <w:rsid w:val="003B00DF"/>
    <w:rsid w:val="003B1275"/>
    <w:rsid w:val="003B1778"/>
    <w:rsid w:val="003C11CB"/>
    <w:rsid w:val="003C2D2A"/>
    <w:rsid w:val="003C4524"/>
    <w:rsid w:val="003C75F3"/>
    <w:rsid w:val="003C78A3"/>
    <w:rsid w:val="003D78E6"/>
    <w:rsid w:val="003E1867"/>
    <w:rsid w:val="003E5729"/>
    <w:rsid w:val="003E5C3B"/>
    <w:rsid w:val="003F2DDB"/>
    <w:rsid w:val="003F4EE0"/>
    <w:rsid w:val="00402153"/>
    <w:rsid w:val="00402FC1"/>
    <w:rsid w:val="00411222"/>
    <w:rsid w:val="00425082"/>
    <w:rsid w:val="00431DEB"/>
    <w:rsid w:val="004323B8"/>
    <w:rsid w:val="00432532"/>
    <w:rsid w:val="004430D7"/>
    <w:rsid w:val="00446B29"/>
    <w:rsid w:val="004502B5"/>
    <w:rsid w:val="0045075F"/>
    <w:rsid w:val="00453F9A"/>
    <w:rsid w:val="0045754C"/>
    <w:rsid w:val="00471E91"/>
    <w:rsid w:val="00474675"/>
    <w:rsid w:val="0047470C"/>
    <w:rsid w:val="00475162"/>
    <w:rsid w:val="00490037"/>
    <w:rsid w:val="0049129A"/>
    <w:rsid w:val="004A35F9"/>
    <w:rsid w:val="004B24C1"/>
    <w:rsid w:val="004C292F"/>
    <w:rsid w:val="004D0A96"/>
    <w:rsid w:val="004D7AFF"/>
    <w:rsid w:val="004D7C1C"/>
    <w:rsid w:val="005000AF"/>
    <w:rsid w:val="00502D50"/>
    <w:rsid w:val="005072DA"/>
    <w:rsid w:val="00510280"/>
    <w:rsid w:val="00510C02"/>
    <w:rsid w:val="00511915"/>
    <w:rsid w:val="00513C67"/>
    <w:rsid w:val="00513D73"/>
    <w:rsid w:val="00514A43"/>
    <w:rsid w:val="005174E5"/>
    <w:rsid w:val="00521E4A"/>
    <w:rsid w:val="005220AA"/>
    <w:rsid w:val="00522393"/>
    <w:rsid w:val="0052239E"/>
    <w:rsid w:val="00522620"/>
    <w:rsid w:val="00525656"/>
    <w:rsid w:val="00527B17"/>
    <w:rsid w:val="00534C02"/>
    <w:rsid w:val="00535D41"/>
    <w:rsid w:val="00541E09"/>
    <w:rsid w:val="0054264B"/>
    <w:rsid w:val="00543786"/>
    <w:rsid w:val="00546A8B"/>
    <w:rsid w:val="0054721C"/>
    <w:rsid w:val="00550692"/>
    <w:rsid w:val="00551700"/>
    <w:rsid w:val="005533D7"/>
    <w:rsid w:val="005703DE"/>
    <w:rsid w:val="00570547"/>
    <w:rsid w:val="00575BF2"/>
    <w:rsid w:val="0057775E"/>
    <w:rsid w:val="0058171A"/>
    <w:rsid w:val="0058464E"/>
    <w:rsid w:val="0058778E"/>
    <w:rsid w:val="005959B5"/>
    <w:rsid w:val="005A01CB"/>
    <w:rsid w:val="005A58FF"/>
    <w:rsid w:val="005A5EAF"/>
    <w:rsid w:val="005A64C0"/>
    <w:rsid w:val="005A6F39"/>
    <w:rsid w:val="005B3C11"/>
    <w:rsid w:val="005B7A4D"/>
    <w:rsid w:val="005C1C28"/>
    <w:rsid w:val="005C2A6F"/>
    <w:rsid w:val="005C2D52"/>
    <w:rsid w:val="005C43BC"/>
    <w:rsid w:val="005C6DB5"/>
    <w:rsid w:val="005D0F21"/>
    <w:rsid w:val="005D3E1C"/>
    <w:rsid w:val="005D5F12"/>
    <w:rsid w:val="005E19E7"/>
    <w:rsid w:val="005E1FE3"/>
    <w:rsid w:val="005E2D5D"/>
    <w:rsid w:val="005E4BBB"/>
    <w:rsid w:val="005E692B"/>
    <w:rsid w:val="005F11FD"/>
    <w:rsid w:val="00607766"/>
    <w:rsid w:val="00607C6C"/>
    <w:rsid w:val="0061716C"/>
    <w:rsid w:val="006243A1"/>
    <w:rsid w:val="006257E0"/>
    <w:rsid w:val="00632E56"/>
    <w:rsid w:val="00635CBA"/>
    <w:rsid w:val="00636F88"/>
    <w:rsid w:val="0064338B"/>
    <w:rsid w:val="00646542"/>
    <w:rsid w:val="006504F4"/>
    <w:rsid w:val="00652EBD"/>
    <w:rsid w:val="00654BC9"/>
    <w:rsid w:val="006552FD"/>
    <w:rsid w:val="00660752"/>
    <w:rsid w:val="00663AF3"/>
    <w:rsid w:val="006661C2"/>
    <w:rsid w:val="00666B6C"/>
    <w:rsid w:val="006705D6"/>
    <w:rsid w:val="00670DD5"/>
    <w:rsid w:val="00677CB3"/>
    <w:rsid w:val="00682682"/>
    <w:rsid w:val="00682702"/>
    <w:rsid w:val="0068286A"/>
    <w:rsid w:val="00683705"/>
    <w:rsid w:val="00685179"/>
    <w:rsid w:val="00692368"/>
    <w:rsid w:val="00692773"/>
    <w:rsid w:val="00692CAF"/>
    <w:rsid w:val="00694D3E"/>
    <w:rsid w:val="006A2EBC"/>
    <w:rsid w:val="006A5DE8"/>
    <w:rsid w:val="006A5EA0"/>
    <w:rsid w:val="006A783B"/>
    <w:rsid w:val="006A7B33"/>
    <w:rsid w:val="006B4E13"/>
    <w:rsid w:val="006B75DD"/>
    <w:rsid w:val="006C0CF8"/>
    <w:rsid w:val="006C347B"/>
    <w:rsid w:val="006C67E0"/>
    <w:rsid w:val="006C7ABA"/>
    <w:rsid w:val="006D0D60"/>
    <w:rsid w:val="006D1122"/>
    <w:rsid w:val="006D3C00"/>
    <w:rsid w:val="006E15B1"/>
    <w:rsid w:val="006E3675"/>
    <w:rsid w:val="006E47CA"/>
    <w:rsid w:val="006E4A7F"/>
    <w:rsid w:val="006E4C8C"/>
    <w:rsid w:val="006F6C5A"/>
    <w:rsid w:val="00702FAB"/>
    <w:rsid w:val="00704A6D"/>
    <w:rsid w:val="00704DF6"/>
    <w:rsid w:val="0070651C"/>
    <w:rsid w:val="00710E92"/>
    <w:rsid w:val="0071177B"/>
    <w:rsid w:val="00712F55"/>
    <w:rsid w:val="00713093"/>
    <w:rsid w:val="007132A3"/>
    <w:rsid w:val="00715F8E"/>
    <w:rsid w:val="00716421"/>
    <w:rsid w:val="0071734C"/>
    <w:rsid w:val="007230BB"/>
    <w:rsid w:val="00724EFB"/>
    <w:rsid w:val="007255F8"/>
    <w:rsid w:val="007313FD"/>
    <w:rsid w:val="007322A4"/>
    <w:rsid w:val="007419C3"/>
    <w:rsid w:val="007467A7"/>
    <w:rsid w:val="007469DD"/>
    <w:rsid w:val="0074741B"/>
    <w:rsid w:val="0074759E"/>
    <w:rsid w:val="007478EA"/>
    <w:rsid w:val="00752BBC"/>
    <w:rsid w:val="00752EA5"/>
    <w:rsid w:val="0075415C"/>
    <w:rsid w:val="00763502"/>
    <w:rsid w:val="00773CF6"/>
    <w:rsid w:val="007842FF"/>
    <w:rsid w:val="00784BCE"/>
    <w:rsid w:val="00784C3B"/>
    <w:rsid w:val="007913AB"/>
    <w:rsid w:val="007914F7"/>
    <w:rsid w:val="00793238"/>
    <w:rsid w:val="007A0803"/>
    <w:rsid w:val="007A4348"/>
    <w:rsid w:val="007A5A1E"/>
    <w:rsid w:val="007B1625"/>
    <w:rsid w:val="007B706E"/>
    <w:rsid w:val="007B71EB"/>
    <w:rsid w:val="007C6205"/>
    <w:rsid w:val="007C686A"/>
    <w:rsid w:val="007C6CCE"/>
    <w:rsid w:val="007C728E"/>
    <w:rsid w:val="007D1087"/>
    <w:rsid w:val="007D2C53"/>
    <w:rsid w:val="007D3D60"/>
    <w:rsid w:val="007D3D98"/>
    <w:rsid w:val="007D7998"/>
    <w:rsid w:val="007D7DD8"/>
    <w:rsid w:val="007E0A55"/>
    <w:rsid w:val="007E1980"/>
    <w:rsid w:val="007E4B76"/>
    <w:rsid w:val="007E5EA8"/>
    <w:rsid w:val="007E7248"/>
    <w:rsid w:val="007F0C79"/>
    <w:rsid w:val="007F0CF1"/>
    <w:rsid w:val="007F12A5"/>
    <w:rsid w:val="007F1D08"/>
    <w:rsid w:val="007F4CF1"/>
    <w:rsid w:val="007F74AC"/>
    <w:rsid w:val="007F758D"/>
    <w:rsid w:val="007F7D52"/>
    <w:rsid w:val="00801A59"/>
    <w:rsid w:val="0080452F"/>
    <w:rsid w:val="00804F92"/>
    <w:rsid w:val="00805A64"/>
    <w:rsid w:val="0080654C"/>
    <w:rsid w:val="008071C6"/>
    <w:rsid w:val="008107D0"/>
    <w:rsid w:val="00817A00"/>
    <w:rsid w:val="0082341F"/>
    <w:rsid w:val="00826DE5"/>
    <w:rsid w:val="00826EBA"/>
    <w:rsid w:val="00835DB3"/>
    <w:rsid w:val="0083617B"/>
    <w:rsid w:val="008371BD"/>
    <w:rsid w:val="008408CD"/>
    <w:rsid w:val="008504A8"/>
    <w:rsid w:val="008508B5"/>
    <w:rsid w:val="008508CC"/>
    <w:rsid w:val="0085282E"/>
    <w:rsid w:val="00852C95"/>
    <w:rsid w:val="00853FD6"/>
    <w:rsid w:val="00856026"/>
    <w:rsid w:val="00856725"/>
    <w:rsid w:val="00860206"/>
    <w:rsid w:val="008702FD"/>
    <w:rsid w:val="0087198C"/>
    <w:rsid w:val="00872C1F"/>
    <w:rsid w:val="00873B42"/>
    <w:rsid w:val="0087410D"/>
    <w:rsid w:val="00883854"/>
    <w:rsid w:val="008856D8"/>
    <w:rsid w:val="00892E82"/>
    <w:rsid w:val="008A2B47"/>
    <w:rsid w:val="008A778E"/>
    <w:rsid w:val="008B5CDF"/>
    <w:rsid w:val="008B79EE"/>
    <w:rsid w:val="008C1B58"/>
    <w:rsid w:val="008C39AE"/>
    <w:rsid w:val="008C3B9F"/>
    <w:rsid w:val="008C590D"/>
    <w:rsid w:val="008D0F59"/>
    <w:rsid w:val="008D10C4"/>
    <w:rsid w:val="008D611D"/>
    <w:rsid w:val="008D6B8C"/>
    <w:rsid w:val="008E031B"/>
    <w:rsid w:val="008E0370"/>
    <w:rsid w:val="008E7029"/>
    <w:rsid w:val="008E7EF6"/>
    <w:rsid w:val="008F0B46"/>
    <w:rsid w:val="008F1F98"/>
    <w:rsid w:val="008F6758"/>
    <w:rsid w:val="00901CD1"/>
    <w:rsid w:val="00901EBA"/>
    <w:rsid w:val="009040DD"/>
    <w:rsid w:val="00905B47"/>
    <w:rsid w:val="00912DD1"/>
    <w:rsid w:val="0091331C"/>
    <w:rsid w:val="00915432"/>
    <w:rsid w:val="009179C4"/>
    <w:rsid w:val="009226D5"/>
    <w:rsid w:val="00924207"/>
    <w:rsid w:val="00925311"/>
    <w:rsid w:val="009279DE"/>
    <w:rsid w:val="00930116"/>
    <w:rsid w:val="00930AF4"/>
    <w:rsid w:val="00930DA3"/>
    <w:rsid w:val="00932021"/>
    <w:rsid w:val="0094212C"/>
    <w:rsid w:val="009439F5"/>
    <w:rsid w:val="00954689"/>
    <w:rsid w:val="009614D6"/>
    <w:rsid w:val="009617C9"/>
    <w:rsid w:val="00961C93"/>
    <w:rsid w:val="00965324"/>
    <w:rsid w:val="009660DA"/>
    <w:rsid w:val="00966629"/>
    <w:rsid w:val="0097091E"/>
    <w:rsid w:val="00973CE1"/>
    <w:rsid w:val="00974682"/>
    <w:rsid w:val="009760D3"/>
    <w:rsid w:val="00977132"/>
    <w:rsid w:val="009814B0"/>
    <w:rsid w:val="00981A4B"/>
    <w:rsid w:val="00982501"/>
    <w:rsid w:val="009877D3"/>
    <w:rsid w:val="00987AB1"/>
    <w:rsid w:val="00987AEC"/>
    <w:rsid w:val="00991844"/>
    <w:rsid w:val="00994E8F"/>
    <w:rsid w:val="009951DC"/>
    <w:rsid w:val="009959BB"/>
    <w:rsid w:val="00997158"/>
    <w:rsid w:val="009A3A7C"/>
    <w:rsid w:val="009A7D00"/>
    <w:rsid w:val="009B2ADB"/>
    <w:rsid w:val="009B2EDC"/>
    <w:rsid w:val="009B603A"/>
    <w:rsid w:val="009C2B15"/>
    <w:rsid w:val="009C2D0E"/>
    <w:rsid w:val="009C3DAC"/>
    <w:rsid w:val="009C42E0"/>
    <w:rsid w:val="009D35FD"/>
    <w:rsid w:val="009D5362"/>
    <w:rsid w:val="009E1415"/>
    <w:rsid w:val="009E6116"/>
    <w:rsid w:val="009E6FFA"/>
    <w:rsid w:val="009F2FB7"/>
    <w:rsid w:val="00A01608"/>
    <w:rsid w:val="00A01C46"/>
    <w:rsid w:val="00A02E43"/>
    <w:rsid w:val="00A065F9"/>
    <w:rsid w:val="00A07F34"/>
    <w:rsid w:val="00A11B91"/>
    <w:rsid w:val="00A217D6"/>
    <w:rsid w:val="00A22154"/>
    <w:rsid w:val="00A23100"/>
    <w:rsid w:val="00A24228"/>
    <w:rsid w:val="00A25C38"/>
    <w:rsid w:val="00A25DAB"/>
    <w:rsid w:val="00A26F0A"/>
    <w:rsid w:val="00A317B4"/>
    <w:rsid w:val="00A36178"/>
    <w:rsid w:val="00A36BBE"/>
    <w:rsid w:val="00A4307A"/>
    <w:rsid w:val="00A43440"/>
    <w:rsid w:val="00A44B7D"/>
    <w:rsid w:val="00A44BA3"/>
    <w:rsid w:val="00A4726D"/>
    <w:rsid w:val="00A476C0"/>
    <w:rsid w:val="00A47EBB"/>
    <w:rsid w:val="00A50247"/>
    <w:rsid w:val="00A51CDD"/>
    <w:rsid w:val="00A558F2"/>
    <w:rsid w:val="00A55DD4"/>
    <w:rsid w:val="00A55ED2"/>
    <w:rsid w:val="00A62820"/>
    <w:rsid w:val="00A6730D"/>
    <w:rsid w:val="00A71625"/>
    <w:rsid w:val="00A71B9B"/>
    <w:rsid w:val="00A74C00"/>
    <w:rsid w:val="00A751C7"/>
    <w:rsid w:val="00A751E0"/>
    <w:rsid w:val="00A75EAE"/>
    <w:rsid w:val="00A81F74"/>
    <w:rsid w:val="00A87844"/>
    <w:rsid w:val="00A91C35"/>
    <w:rsid w:val="00AA038C"/>
    <w:rsid w:val="00AA76CF"/>
    <w:rsid w:val="00AA7A09"/>
    <w:rsid w:val="00AB0270"/>
    <w:rsid w:val="00AB2773"/>
    <w:rsid w:val="00AB36D5"/>
    <w:rsid w:val="00AB3B50"/>
    <w:rsid w:val="00AB53F3"/>
    <w:rsid w:val="00AC05B1"/>
    <w:rsid w:val="00AD356C"/>
    <w:rsid w:val="00AD47AB"/>
    <w:rsid w:val="00AD5061"/>
    <w:rsid w:val="00AD6412"/>
    <w:rsid w:val="00AE12B5"/>
    <w:rsid w:val="00AE2914"/>
    <w:rsid w:val="00AE6D15"/>
    <w:rsid w:val="00B01EFD"/>
    <w:rsid w:val="00B04182"/>
    <w:rsid w:val="00B07AE3"/>
    <w:rsid w:val="00B11430"/>
    <w:rsid w:val="00B165FB"/>
    <w:rsid w:val="00B219D2"/>
    <w:rsid w:val="00B3199E"/>
    <w:rsid w:val="00B344B9"/>
    <w:rsid w:val="00B34D9C"/>
    <w:rsid w:val="00B353EB"/>
    <w:rsid w:val="00B35A2A"/>
    <w:rsid w:val="00B373FE"/>
    <w:rsid w:val="00B439C4"/>
    <w:rsid w:val="00B4535E"/>
    <w:rsid w:val="00B45966"/>
    <w:rsid w:val="00B45BB5"/>
    <w:rsid w:val="00B52A8C"/>
    <w:rsid w:val="00B628E3"/>
    <w:rsid w:val="00B636A8"/>
    <w:rsid w:val="00B64B12"/>
    <w:rsid w:val="00B64D0D"/>
    <w:rsid w:val="00B664C1"/>
    <w:rsid w:val="00B665C6"/>
    <w:rsid w:val="00B805AF"/>
    <w:rsid w:val="00B82FA9"/>
    <w:rsid w:val="00B84957"/>
    <w:rsid w:val="00B869EC"/>
    <w:rsid w:val="00B87274"/>
    <w:rsid w:val="00B9048C"/>
    <w:rsid w:val="00B9397A"/>
    <w:rsid w:val="00B9542A"/>
    <w:rsid w:val="00B9633D"/>
    <w:rsid w:val="00B968C6"/>
    <w:rsid w:val="00BA2EBE"/>
    <w:rsid w:val="00BA73F6"/>
    <w:rsid w:val="00BA7BCC"/>
    <w:rsid w:val="00BB0722"/>
    <w:rsid w:val="00BB0F28"/>
    <w:rsid w:val="00BB2CE2"/>
    <w:rsid w:val="00BB458A"/>
    <w:rsid w:val="00BB7870"/>
    <w:rsid w:val="00BC047D"/>
    <w:rsid w:val="00BC4999"/>
    <w:rsid w:val="00BC4C96"/>
    <w:rsid w:val="00BC644B"/>
    <w:rsid w:val="00BD00D3"/>
    <w:rsid w:val="00BD1659"/>
    <w:rsid w:val="00BD3AA9"/>
    <w:rsid w:val="00BD4A18"/>
    <w:rsid w:val="00BD6DB2"/>
    <w:rsid w:val="00BE11CF"/>
    <w:rsid w:val="00BE21AB"/>
    <w:rsid w:val="00BE55CB"/>
    <w:rsid w:val="00BE7C58"/>
    <w:rsid w:val="00BF617A"/>
    <w:rsid w:val="00BF6E2C"/>
    <w:rsid w:val="00BF795E"/>
    <w:rsid w:val="00C0379D"/>
    <w:rsid w:val="00C03931"/>
    <w:rsid w:val="00C05FE3"/>
    <w:rsid w:val="00C2136D"/>
    <w:rsid w:val="00C214EE"/>
    <w:rsid w:val="00C21B7E"/>
    <w:rsid w:val="00C2314B"/>
    <w:rsid w:val="00C23AE1"/>
    <w:rsid w:val="00C24971"/>
    <w:rsid w:val="00C26BE5"/>
    <w:rsid w:val="00C26C5D"/>
    <w:rsid w:val="00C26E4D"/>
    <w:rsid w:val="00C27909"/>
    <w:rsid w:val="00C27B03"/>
    <w:rsid w:val="00C314E1"/>
    <w:rsid w:val="00C31871"/>
    <w:rsid w:val="00C3189D"/>
    <w:rsid w:val="00C34397"/>
    <w:rsid w:val="00C4095D"/>
    <w:rsid w:val="00C516E5"/>
    <w:rsid w:val="00C57042"/>
    <w:rsid w:val="00C5737F"/>
    <w:rsid w:val="00C601D2"/>
    <w:rsid w:val="00C63B1E"/>
    <w:rsid w:val="00C65BCC"/>
    <w:rsid w:val="00C65D49"/>
    <w:rsid w:val="00C66970"/>
    <w:rsid w:val="00C700DE"/>
    <w:rsid w:val="00C7222D"/>
    <w:rsid w:val="00C7252D"/>
    <w:rsid w:val="00C766E2"/>
    <w:rsid w:val="00C8691C"/>
    <w:rsid w:val="00C931BF"/>
    <w:rsid w:val="00CA168A"/>
    <w:rsid w:val="00CA357E"/>
    <w:rsid w:val="00CA44F9"/>
    <w:rsid w:val="00CA4A69"/>
    <w:rsid w:val="00CA5899"/>
    <w:rsid w:val="00CB0A84"/>
    <w:rsid w:val="00CB4272"/>
    <w:rsid w:val="00CC0575"/>
    <w:rsid w:val="00CC3E0C"/>
    <w:rsid w:val="00CC58D3"/>
    <w:rsid w:val="00CC6242"/>
    <w:rsid w:val="00CC784D"/>
    <w:rsid w:val="00CD0723"/>
    <w:rsid w:val="00CD3802"/>
    <w:rsid w:val="00CD4F52"/>
    <w:rsid w:val="00CD690F"/>
    <w:rsid w:val="00CE02D9"/>
    <w:rsid w:val="00CE75AC"/>
    <w:rsid w:val="00CF0723"/>
    <w:rsid w:val="00D00CD3"/>
    <w:rsid w:val="00D0337B"/>
    <w:rsid w:val="00D061FA"/>
    <w:rsid w:val="00D079B2"/>
    <w:rsid w:val="00D104A5"/>
    <w:rsid w:val="00D114E9"/>
    <w:rsid w:val="00D153F0"/>
    <w:rsid w:val="00D15AF2"/>
    <w:rsid w:val="00D215BB"/>
    <w:rsid w:val="00D21BA4"/>
    <w:rsid w:val="00D21D5B"/>
    <w:rsid w:val="00D27166"/>
    <w:rsid w:val="00D35ED6"/>
    <w:rsid w:val="00D36DFD"/>
    <w:rsid w:val="00D415B8"/>
    <w:rsid w:val="00D41C40"/>
    <w:rsid w:val="00D429C6"/>
    <w:rsid w:val="00D44FC4"/>
    <w:rsid w:val="00D47748"/>
    <w:rsid w:val="00D54CC3"/>
    <w:rsid w:val="00D6041A"/>
    <w:rsid w:val="00D633EB"/>
    <w:rsid w:val="00D6629C"/>
    <w:rsid w:val="00D80C07"/>
    <w:rsid w:val="00D82FF7"/>
    <w:rsid w:val="00D847FE"/>
    <w:rsid w:val="00D9116F"/>
    <w:rsid w:val="00D92FBD"/>
    <w:rsid w:val="00D964EA"/>
    <w:rsid w:val="00D966D0"/>
    <w:rsid w:val="00DA0C59"/>
    <w:rsid w:val="00DA3991"/>
    <w:rsid w:val="00DA693F"/>
    <w:rsid w:val="00DB58E0"/>
    <w:rsid w:val="00DB765B"/>
    <w:rsid w:val="00DB7E6C"/>
    <w:rsid w:val="00DC1C20"/>
    <w:rsid w:val="00DD0A63"/>
    <w:rsid w:val="00DD5A29"/>
    <w:rsid w:val="00DD5D9D"/>
    <w:rsid w:val="00DE2552"/>
    <w:rsid w:val="00DE35CB"/>
    <w:rsid w:val="00DE38C3"/>
    <w:rsid w:val="00DF160E"/>
    <w:rsid w:val="00DF20F8"/>
    <w:rsid w:val="00DF21E9"/>
    <w:rsid w:val="00DF7C05"/>
    <w:rsid w:val="00E00B74"/>
    <w:rsid w:val="00E00F14"/>
    <w:rsid w:val="00E06386"/>
    <w:rsid w:val="00E0783E"/>
    <w:rsid w:val="00E10723"/>
    <w:rsid w:val="00E15B2B"/>
    <w:rsid w:val="00E21541"/>
    <w:rsid w:val="00E24EB4"/>
    <w:rsid w:val="00E313DF"/>
    <w:rsid w:val="00E320ED"/>
    <w:rsid w:val="00E330AE"/>
    <w:rsid w:val="00E33AFB"/>
    <w:rsid w:val="00E34218"/>
    <w:rsid w:val="00E35AC2"/>
    <w:rsid w:val="00E46282"/>
    <w:rsid w:val="00E46C55"/>
    <w:rsid w:val="00E5216E"/>
    <w:rsid w:val="00E565B1"/>
    <w:rsid w:val="00E6377C"/>
    <w:rsid w:val="00E67D48"/>
    <w:rsid w:val="00E70685"/>
    <w:rsid w:val="00E71E79"/>
    <w:rsid w:val="00E82344"/>
    <w:rsid w:val="00E84C82"/>
    <w:rsid w:val="00E84D64"/>
    <w:rsid w:val="00E8706D"/>
    <w:rsid w:val="00E87408"/>
    <w:rsid w:val="00E87ED6"/>
    <w:rsid w:val="00E90627"/>
    <w:rsid w:val="00E914C4"/>
    <w:rsid w:val="00E934F5"/>
    <w:rsid w:val="00E96961"/>
    <w:rsid w:val="00EA0CBB"/>
    <w:rsid w:val="00EA72EC"/>
    <w:rsid w:val="00EB11CB"/>
    <w:rsid w:val="00EB275A"/>
    <w:rsid w:val="00EB786A"/>
    <w:rsid w:val="00EC1578"/>
    <w:rsid w:val="00EC1C72"/>
    <w:rsid w:val="00EC2447"/>
    <w:rsid w:val="00EC3CC9"/>
    <w:rsid w:val="00EC5A26"/>
    <w:rsid w:val="00EC680A"/>
    <w:rsid w:val="00ED3765"/>
    <w:rsid w:val="00EE2BED"/>
    <w:rsid w:val="00EE374B"/>
    <w:rsid w:val="00EE57FA"/>
    <w:rsid w:val="00EE7F12"/>
    <w:rsid w:val="00EF0109"/>
    <w:rsid w:val="00EF1372"/>
    <w:rsid w:val="00EF4A0A"/>
    <w:rsid w:val="00F027CB"/>
    <w:rsid w:val="00F034B3"/>
    <w:rsid w:val="00F0382F"/>
    <w:rsid w:val="00F11BB5"/>
    <w:rsid w:val="00F1417B"/>
    <w:rsid w:val="00F21C7E"/>
    <w:rsid w:val="00F34B99"/>
    <w:rsid w:val="00F35C7E"/>
    <w:rsid w:val="00F36B1A"/>
    <w:rsid w:val="00F46BA5"/>
    <w:rsid w:val="00F52DAB"/>
    <w:rsid w:val="00F543F0"/>
    <w:rsid w:val="00F75BC5"/>
    <w:rsid w:val="00F77324"/>
    <w:rsid w:val="00F81D29"/>
    <w:rsid w:val="00F868EA"/>
    <w:rsid w:val="00F91C4D"/>
    <w:rsid w:val="00F92FD9"/>
    <w:rsid w:val="00F936CB"/>
    <w:rsid w:val="00F973E3"/>
    <w:rsid w:val="00FA6684"/>
    <w:rsid w:val="00FA731E"/>
    <w:rsid w:val="00FB0B0C"/>
    <w:rsid w:val="00FB2B38"/>
    <w:rsid w:val="00FC050A"/>
    <w:rsid w:val="00FC559E"/>
    <w:rsid w:val="00FC6358"/>
    <w:rsid w:val="00FD0513"/>
    <w:rsid w:val="00FD320D"/>
    <w:rsid w:val="00FD679A"/>
    <w:rsid w:val="00FE23DE"/>
    <w:rsid w:val="00FE3537"/>
    <w:rsid w:val="032052AA"/>
    <w:rsid w:val="1FD901A6"/>
    <w:rsid w:val="23E73F76"/>
    <w:rsid w:val="2E2760CC"/>
    <w:rsid w:val="301D233F"/>
    <w:rsid w:val="31274283"/>
    <w:rsid w:val="34A43DEB"/>
    <w:rsid w:val="37074B8B"/>
    <w:rsid w:val="423A41C8"/>
    <w:rsid w:val="45103EB4"/>
    <w:rsid w:val="4B232DA2"/>
    <w:rsid w:val="559B2235"/>
    <w:rsid w:val="5B6D5D98"/>
    <w:rsid w:val="68F7517E"/>
    <w:rsid w:val="69245DF2"/>
    <w:rsid w:val="73FB444D"/>
    <w:rsid w:val="740967A0"/>
    <w:rsid w:val="747D2327"/>
    <w:rsid w:val="7A5A1B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unhideWhenUsed="0" w:uiPriority="0" w:name="toc 5"/>
    <w:lsdException w:qFormat="1" w:unhideWhenUsed="0" w:uiPriority="0" w:name="toc 6"/>
    <w:lsdException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link w:val="141"/>
    <w:autoRedefine/>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33">
    <w:name w:val="Default Paragraph Font"/>
    <w:autoRedefine/>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3">
    <w:name w:val="toc 7"/>
    <w:basedOn w:val="1"/>
    <w:next w:val="1"/>
    <w:autoRedefine/>
    <w:semiHidden/>
    <w:uiPriority w:val="0"/>
    <w:pPr>
      <w:tabs>
        <w:tab w:val="right" w:leader="dot" w:pos="9241"/>
      </w:tabs>
      <w:ind w:firstLine="500" w:firstLineChars="500"/>
      <w:jc w:val="left"/>
    </w:pPr>
    <w:rPr>
      <w:rFonts w:ascii="宋体"/>
      <w:szCs w:val="21"/>
    </w:rPr>
  </w:style>
  <w:style w:type="paragraph" w:styleId="4">
    <w:name w:val="index 8"/>
    <w:basedOn w:val="1"/>
    <w:next w:val="1"/>
    <w:autoRedefine/>
    <w:qFormat/>
    <w:uiPriority w:val="0"/>
    <w:pPr>
      <w:ind w:left="1680" w:hanging="210"/>
      <w:jc w:val="left"/>
    </w:pPr>
    <w:rPr>
      <w:rFonts w:ascii="Calibri" w:hAnsi="Calibri"/>
      <w:sz w:val="20"/>
      <w:szCs w:val="20"/>
    </w:rPr>
  </w:style>
  <w:style w:type="paragraph" w:styleId="5">
    <w:name w:val="caption"/>
    <w:basedOn w:val="1"/>
    <w:next w:val="1"/>
    <w:qFormat/>
    <w:uiPriority w:val="0"/>
    <w:pPr>
      <w:spacing w:before="152" w:after="160"/>
    </w:pPr>
    <w:rPr>
      <w:rFonts w:ascii="Arial" w:hAnsi="Arial" w:eastAsia="黑体" w:cs="Arial"/>
      <w:sz w:val="20"/>
      <w:szCs w:val="20"/>
    </w:rPr>
  </w:style>
  <w:style w:type="paragraph" w:styleId="6">
    <w:name w:val="index 5"/>
    <w:basedOn w:val="1"/>
    <w:next w:val="1"/>
    <w:autoRedefine/>
    <w:qFormat/>
    <w:uiPriority w:val="0"/>
    <w:pPr>
      <w:ind w:left="1050" w:hanging="210"/>
      <w:jc w:val="left"/>
    </w:pPr>
    <w:rPr>
      <w:rFonts w:ascii="Calibri" w:hAnsi="Calibri"/>
      <w:sz w:val="20"/>
      <w:szCs w:val="20"/>
    </w:rPr>
  </w:style>
  <w:style w:type="paragraph" w:styleId="7">
    <w:name w:val="Document Map"/>
    <w:basedOn w:val="1"/>
    <w:autoRedefine/>
    <w:semiHidden/>
    <w:qFormat/>
    <w:uiPriority w:val="0"/>
    <w:pPr>
      <w:shd w:val="clear" w:color="auto" w:fill="000080"/>
    </w:pPr>
  </w:style>
  <w:style w:type="paragraph" w:styleId="8">
    <w:name w:val="annotation text"/>
    <w:basedOn w:val="1"/>
    <w:link w:val="144"/>
    <w:unhideWhenUsed/>
    <w:qFormat/>
    <w:uiPriority w:val="0"/>
    <w:pPr>
      <w:jc w:val="left"/>
    </w:pPr>
  </w:style>
  <w:style w:type="paragraph" w:styleId="9">
    <w:name w:val="index 6"/>
    <w:basedOn w:val="1"/>
    <w:next w:val="1"/>
    <w:autoRedefine/>
    <w:qFormat/>
    <w:uiPriority w:val="0"/>
    <w:pPr>
      <w:ind w:left="1260" w:hanging="210"/>
      <w:jc w:val="left"/>
    </w:pPr>
    <w:rPr>
      <w:rFonts w:ascii="Calibri" w:hAnsi="Calibri"/>
      <w:sz w:val="20"/>
      <w:szCs w:val="20"/>
    </w:rPr>
  </w:style>
  <w:style w:type="paragraph" w:styleId="10">
    <w:name w:val="index 4"/>
    <w:basedOn w:val="1"/>
    <w:next w:val="1"/>
    <w:autoRedefine/>
    <w:qFormat/>
    <w:uiPriority w:val="0"/>
    <w:pPr>
      <w:ind w:left="840" w:hanging="210"/>
      <w:jc w:val="left"/>
    </w:pPr>
    <w:rPr>
      <w:rFonts w:ascii="Calibri" w:hAnsi="Calibri"/>
      <w:sz w:val="20"/>
      <w:szCs w:val="20"/>
    </w:rPr>
  </w:style>
  <w:style w:type="paragraph" w:styleId="11">
    <w:name w:val="toc 5"/>
    <w:basedOn w:val="1"/>
    <w:next w:val="1"/>
    <w:autoRedefine/>
    <w:semiHidden/>
    <w:uiPriority w:val="0"/>
    <w:pPr>
      <w:tabs>
        <w:tab w:val="right" w:leader="dot" w:pos="9241"/>
      </w:tabs>
      <w:ind w:firstLine="300" w:firstLineChars="300"/>
      <w:jc w:val="left"/>
    </w:pPr>
    <w:rPr>
      <w:rFonts w:ascii="宋体"/>
      <w:szCs w:val="21"/>
    </w:rPr>
  </w:style>
  <w:style w:type="paragraph" w:styleId="12">
    <w:name w:val="toc 3"/>
    <w:basedOn w:val="1"/>
    <w:next w:val="1"/>
    <w:autoRedefine/>
    <w:semiHidden/>
    <w:qFormat/>
    <w:uiPriority w:val="0"/>
    <w:pPr>
      <w:tabs>
        <w:tab w:val="right" w:leader="dot" w:pos="9241"/>
      </w:tabs>
      <w:ind w:firstLine="100" w:firstLineChars="100"/>
      <w:jc w:val="left"/>
    </w:pPr>
    <w:rPr>
      <w:rFonts w:ascii="宋体"/>
      <w:szCs w:val="21"/>
    </w:rPr>
  </w:style>
  <w:style w:type="paragraph" w:styleId="13">
    <w:name w:val="toc 8"/>
    <w:basedOn w:val="1"/>
    <w:next w:val="1"/>
    <w:autoRedefine/>
    <w:semiHidden/>
    <w:qFormat/>
    <w:uiPriority w:val="0"/>
    <w:pPr>
      <w:tabs>
        <w:tab w:val="right" w:leader="dot" w:pos="9241"/>
      </w:tabs>
      <w:ind w:firstLine="607" w:firstLineChars="600"/>
      <w:jc w:val="left"/>
    </w:pPr>
    <w:rPr>
      <w:rFonts w:ascii="宋体"/>
      <w:szCs w:val="21"/>
    </w:rPr>
  </w:style>
  <w:style w:type="paragraph" w:styleId="14">
    <w:name w:val="index 3"/>
    <w:basedOn w:val="1"/>
    <w:next w:val="1"/>
    <w:autoRedefine/>
    <w:qFormat/>
    <w:uiPriority w:val="0"/>
    <w:pPr>
      <w:ind w:left="630" w:hanging="210"/>
      <w:jc w:val="left"/>
    </w:pPr>
    <w:rPr>
      <w:rFonts w:ascii="Calibri" w:hAnsi="Calibri"/>
      <w:sz w:val="20"/>
      <w:szCs w:val="20"/>
    </w:rPr>
  </w:style>
  <w:style w:type="paragraph" w:styleId="15">
    <w:name w:val="Date"/>
    <w:basedOn w:val="1"/>
    <w:next w:val="1"/>
    <w:link w:val="142"/>
    <w:autoRedefine/>
    <w:qFormat/>
    <w:uiPriority w:val="0"/>
    <w:pPr>
      <w:ind w:left="100" w:leftChars="2500"/>
    </w:pPr>
  </w:style>
  <w:style w:type="paragraph" w:styleId="16">
    <w:name w:val="endnote text"/>
    <w:basedOn w:val="1"/>
    <w:autoRedefine/>
    <w:semiHidden/>
    <w:qFormat/>
    <w:uiPriority w:val="0"/>
    <w:pPr>
      <w:snapToGrid w:val="0"/>
      <w:jc w:val="left"/>
    </w:pPr>
  </w:style>
  <w:style w:type="paragraph" w:styleId="17">
    <w:name w:val="footer"/>
    <w:basedOn w:val="1"/>
    <w:link w:val="137"/>
    <w:autoRedefine/>
    <w:qFormat/>
    <w:uiPriority w:val="0"/>
    <w:pPr>
      <w:snapToGrid w:val="0"/>
      <w:ind w:right="210" w:rightChars="100"/>
      <w:jc w:val="right"/>
    </w:pPr>
    <w:rPr>
      <w:sz w:val="18"/>
      <w:szCs w:val="18"/>
    </w:rPr>
  </w:style>
  <w:style w:type="paragraph" w:styleId="18">
    <w:name w:val="header"/>
    <w:basedOn w:val="1"/>
    <w:autoRedefine/>
    <w:qFormat/>
    <w:uiPriority w:val="0"/>
    <w:pPr>
      <w:snapToGrid w:val="0"/>
      <w:jc w:val="left"/>
    </w:pPr>
    <w:rPr>
      <w:sz w:val="18"/>
      <w:szCs w:val="18"/>
    </w:rPr>
  </w:style>
  <w:style w:type="paragraph" w:styleId="19">
    <w:name w:val="toc 1"/>
    <w:basedOn w:val="1"/>
    <w:next w:val="1"/>
    <w:autoRedefine/>
    <w:semiHidden/>
    <w:qFormat/>
    <w:uiPriority w:val="0"/>
    <w:pPr>
      <w:tabs>
        <w:tab w:val="right" w:leader="dot" w:pos="9242"/>
      </w:tabs>
      <w:spacing w:beforeLines="25" w:afterLines="25"/>
      <w:jc w:val="left"/>
    </w:pPr>
    <w:rPr>
      <w:rFonts w:ascii="宋体"/>
      <w:szCs w:val="21"/>
    </w:rPr>
  </w:style>
  <w:style w:type="paragraph" w:styleId="20">
    <w:name w:val="toc 4"/>
    <w:basedOn w:val="1"/>
    <w:next w:val="1"/>
    <w:autoRedefine/>
    <w:semiHidden/>
    <w:qFormat/>
    <w:uiPriority w:val="0"/>
    <w:pPr>
      <w:tabs>
        <w:tab w:val="right" w:leader="dot" w:pos="9241"/>
      </w:tabs>
      <w:ind w:firstLine="200" w:firstLineChars="200"/>
      <w:jc w:val="left"/>
    </w:pPr>
    <w:rPr>
      <w:rFonts w:ascii="宋体"/>
      <w:szCs w:val="21"/>
    </w:rPr>
  </w:style>
  <w:style w:type="paragraph" w:styleId="21">
    <w:name w:val="index heading"/>
    <w:basedOn w:val="1"/>
    <w:next w:val="22"/>
    <w:autoRedefine/>
    <w:qFormat/>
    <w:uiPriority w:val="0"/>
    <w:pPr>
      <w:spacing w:before="120" w:after="120"/>
      <w:jc w:val="center"/>
    </w:pPr>
    <w:rPr>
      <w:rFonts w:ascii="Calibri" w:hAnsi="Calibri"/>
      <w:b/>
      <w:bCs/>
      <w:iCs/>
      <w:szCs w:val="20"/>
    </w:rPr>
  </w:style>
  <w:style w:type="paragraph" w:styleId="22">
    <w:name w:val="index 1"/>
    <w:basedOn w:val="1"/>
    <w:next w:val="23"/>
    <w:autoRedefine/>
    <w:qFormat/>
    <w:uiPriority w:val="0"/>
    <w:pPr>
      <w:tabs>
        <w:tab w:val="right" w:leader="dot" w:pos="9299"/>
      </w:tabs>
      <w:jc w:val="left"/>
    </w:pPr>
    <w:rPr>
      <w:rFonts w:ascii="宋体"/>
      <w:szCs w:val="21"/>
    </w:rPr>
  </w:style>
  <w:style w:type="paragraph" w:customStyle="1" w:styleId="23">
    <w:name w:val="段"/>
    <w:link w:val="40"/>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4">
    <w:name w:val="footnote text"/>
    <w:basedOn w:val="1"/>
    <w:autoRedefine/>
    <w:qFormat/>
    <w:uiPriority w:val="0"/>
    <w:pPr>
      <w:numPr>
        <w:ilvl w:val="0"/>
        <w:numId w:val="1"/>
      </w:numPr>
      <w:snapToGrid w:val="0"/>
      <w:jc w:val="left"/>
    </w:pPr>
    <w:rPr>
      <w:rFonts w:ascii="宋体"/>
      <w:sz w:val="18"/>
      <w:szCs w:val="18"/>
    </w:rPr>
  </w:style>
  <w:style w:type="paragraph" w:styleId="25">
    <w:name w:val="toc 6"/>
    <w:basedOn w:val="1"/>
    <w:next w:val="1"/>
    <w:autoRedefine/>
    <w:semiHidden/>
    <w:qFormat/>
    <w:uiPriority w:val="0"/>
    <w:pPr>
      <w:tabs>
        <w:tab w:val="right" w:leader="dot" w:pos="9241"/>
      </w:tabs>
      <w:ind w:firstLine="400" w:firstLineChars="400"/>
      <w:jc w:val="left"/>
    </w:pPr>
    <w:rPr>
      <w:rFonts w:ascii="宋体"/>
      <w:szCs w:val="21"/>
    </w:rPr>
  </w:style>
  <w:style w:type="paragraph" w:styleId="26">
    <w:name w:val="index 7"/>
    <w:basedOn w:val="1"/>
    <w:next w:val="1"/>
    <w:autoRedefine/>
    <w:qFormat/>
    <w:uiPriority w:val="0"/>
    <w:pPr>
      <w:ind w:left="1470" w:hanging="210"/>
      <w:jc w:val="left"/>
    </w:pPr>
    <w:rPr>
      <w:rFonts w:ascii="Calibri" w:hAnsi="Calibri"/>
      <w:sz w:val="20"/>
      <w:szCs w:val="20"/>
    </w:rPr>
  </w:style>
  <w:style w:type="paragraph" w:styleId="27">
    <w:name w:val="index 9"/>
    <w:basedOn w:val="1"/>
    <w:next w:val="1"/>
    <w:autoRedefine/>
    <w:qFormat/>
    <w:uiPriority w:val="0"/>
    <w:pPr>
      <w:ind w:left="1890" w:hanging="210"/>
      <w:jc w:val="left"/>
    </w:pPr>
    <w:rPr>
      <w:rFonts w:ascii="Calibri" w:hAnsi="Calibri"/>
      <w:sz w:val="20"/>
      <w:szCs w:val="20"/>
    </w:rPr>
  </w:style>
  <w:style w:type="paragraph" w:styleId="28">
    <w:name w:val="toc 2"/>
    <w:basedOn w:val="1"/>
    <w:next w:val="1"/>
    <w:autoRedefine/>
    <w:semiHidden/>
    <w:qFormat/>
    <w:uiPriority w:val="0"/>
    <w:pPr>
      <w:tabs>
        <w:tab w:val="right" w:leader="dot" w:pos="9242"/>
      </w:tabs>
    </w:pPr>
    <w:rPr>
      <w:rFonts w:ascii="宋体"/>
      <w:szCs w:val="21"/>
    </w:rPr>
  </w:style>
  <w:style w:type="paragraph" w:styleId="29">
    <w:name w:val="toc 9"/>
    <w:basedOn w:val="1"/>
    <w:next w:val="1"/>
    <w:autoRedefine/>
    <w:semiHidden/>
    <w:qFormat/>
    <w:uiPriority w:val="0"/>
    <w:pPr>
      <w:ind w:left="1470"/>
      <w:jc w:val="left"/>
    </w:pPr>
    <w:rPr>
      <w:sz w:val="20"/>
      <w:szCs w:val="20"/>
    </w:rPr>
  </w:style>
  <w:style w:type="paragraph" w:styleId="30">
    <w:name w:val="index 2"/>
    <w:basedOn w:val="1"/>
    <w:next w:val="1"/>
    <w:autoRedefine/>
    <w:qFormat/>
    <w:uiPriority w:val="0"/>
    <w:pPr>
      <w:ind w:left="420" w:hanging="210"/>
      <w:jc w:val="left"/>
    </w:pPr>
    <w:rPr>
      <w:rFonts w:ascii="Calibri" w:hAnsi="Calibri"/>
      <w:sz w:val="20"/>
      <w:szCs w:val="20"/>
    </w:rPr>
  </w:style>
  <w:style w:type="table" w:styleId="32">
    <w:name w:val="Table Grid"/>
    <w:basedOn w:val="31"/>
    <w:autoRedefine/>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endnote reference"/>
    <w:autoRedefine/>
    <w:semiHidden/>
    <w:qFormat/>
    <w:uiPriority w:val="0"/>
    <w:rPr>
      <w:vertAlign w:val="superscript"/>
    </w:rPr>
  </w:style>
  <w:style w:type="character" w:styleId="35">
    <w:name w:val="page number"/>
    <w:autoRedefine/>
    <w:qFormat/>
    <w:uiPriority w:val="0"/>
    <w:rPr>
      <w:rFonts w:ascii="Times New Roman" w:hAnsi="Times New Roman" w:eastAsia="宋体"/>
      <w:sz w:val="18"/>
    </w:rPr>
  </w:style>
  <w:style w:type="character" w:styleId="36">
    <w:name w:val="FollowedHyperlink"/>
    <w:autoRedefine/>
    <w:qFormat/>
    <w:uiPriority w:val="0"/>
    <w:rPr>
      <w:color w:val="800080"/>
      <w:u w:val="single"/>
    </w:rPr>
  </w:style>
  <w:style w:type="character" w:styleId="37">
    <w:name w:val="Emphasis"/>
    <w:basedOn w:val="33"/>
    <w:autoRedefine/>
    <w:qFormat/>
    <w:uiPriority w:val="20"/>
    <w:rPr>
      <w:color w:val="CC0000"/>
    </w:rPr>
  </w:style>
  <w:style w:type="character" w:styleId="38">
    <w:name w:val="Hyperlink"/>
    <w:autoRedefine/>
    <w:qFormat/>
    <w:uiPriority w:val="0"/>
    <w:rPr>
      <w:color w:val="0000FF"/>
      <w:spacing w:val="0"/>
      <w:w w:val="100"/>
      <w:szCs w:val="21"/>
      <w:u w:val="single"/>
    </w:rPr>
  </w:style>
  <w:style w:type="character" w:styleId="39">
    <w:name w:val="footnote reference"/>
    <w:autoRedefine/>
    <w:semiHidden/>
    <w:qFormat/>
    <w:uiPriority w:val="0"/>
    <w:rPr>
      <w:vertAlign w:val="superscript"/>
    </w:rPr>
  </w:style>
  <w:style w:type="character" w:customStyle="1" w:styleId="40">
    <w:name w:val="段 Char"/>
    <w:link w:val="23"/>
    <w:autoRedefine/>
    <w:qFormat/>
    <w:uiPriority w:val="0"/>
    <w:rPr>
      <w:rFonts w:ascii="宋体"/>
      <w:sz w:val="21"/>
      <w:lang w:val="en-US" w:eastAsia="zh-CN" w:bidi="ar-SA"/>
    </w:rPr>
  </w:style>
  <w:style w:type="paragraph" w:customStyle="1" w:styleId="41">
    <w:name w:val="一级条标题"/>
    <w:next w:val="23"/>
    <w:link w:val="138"/>
    <w:autoRedefine/>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42">
    <w:name w:val="标准书脚_奇数页"/>
    <w:autoRedefine/>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3">
    <w:name w:val="标准书眉_奇数页"/>
    <w:next w:val="1"/>
    <w:autoRedefine/>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4">
    <w:name w:val="章标题"/>
    <w:next w:val="23"/>
    <w:autoRedefine/>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45">
    <w:name w:val="二级条标题"/>
    <w:basedOn w:val="41"/>
    <w:next w:val="23"/>
    <w:link w:val="139"/>
    <w:autoRedefine/>
    <w:qFormat/>
    <w:uiPriority w:val="0"/>
    <w:pPr>
      <w:numPr>
        <w:ilvl w:val="2"/>
      </w:numPr>
      <w:spacing w:before="50" w:after="50"/>
      <w:outlineLvl w:val="3"/>
    </w:pPr>
  </w:style>
  <w:style w:type="paragraph" w:customStyle="1" w:styleId="46">
    <w:name w:val="封面标准号2"/>
    <w:autoRedefine/>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7">
    <w:name w:val="列项——（一级）"/>
    <w:autoRedefine/>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48">
    <w:name w:val="列项●（二级）"/>
    <w:autoRedefine/>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49">
    <w:name w:val="目次、标准名称标题"/>
    <w:basedOn w:val="1"/>
    <w:next w:val="23"/>
    <w:autoRedefine/>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0">
    <w:name w:val="三级条标题"/>
    <w:basedOn w:val="45"/>
    <w:next w:val="23"/>
    <w:autoRedefine/>
    <w:qFormat/>
    <w:uiPriority w:val="0"/>
    <w:pPr>
      <w:numPr>
        <w:ilvl w:val="3"/>
      </w:numPr>
      <w:outlineLvl w:val="4"/>
    </w:pPr>
  </w:style>
  <w:style w:type="paragraph" w:customStyle="1" w:styleId="51">
    <w:name w:val="示例"/>
    <w:next w:val="52"/>
    <w:autoRedefine/>
    <w:qFormat/>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52">
    <w:name w:val="示例内容"/>
    <w:autoRedefine/>
    <w:qFormat/>
    <w:uiPriority w:val="0"/>
    <w:pPr>
      <w:ind w:firstLine="200" w:firstLineChars="200"/>
    </w:pPr>
    <w:rPr>
      <w:rFonts w:ascii="宋体" w:hAnsi="Times New Roman" w:eastAsia="宋体" w:cs="Times New Roman"/>
      <w:sz w:val="18"/>
      <w:szCs w:val="18"/>
      <w:lang w:val="en-US" w:eastAsia="zh-CN" w:bidi="ar-SA"/>
    </w:rPr>
  </w:style>
  <w:style w:type="paragraph" w:customStyle="1" w:styleId="53">
    <w:name w:val="数字编号列项（二级）"/>
    <w:autoRedefine/>
    <w:qFormat/>
    <w:uiPriority w:val="0"/>
    <w:pPr>
      <w:numPr>
        <w:ilvl w:val="1"/>
        <w:numId w:val="5"/>
      </w:numPr>
      <w:jc w:val="both"/>
    </w:pPr>
    <w:rPr>
      <w:rFonts w:ascii="宋体" w:hAnsi="Times New Roman" w:eastAsia="宋体" w:cs="Times New Roman"/>
      <w:sz w:val="21"/>
      <w:lang w:val="en-US" w:eastAsia="zh-CN" w:bidi="ar-SA"/>
    </w:rPr>
  </w:style>
  <w:style w:type="paragraph" w:customStyle="1" w:styleId="54">
    <w:name w:val="四级条标题"/>
    <w:basedOn w:val="50"/>
    <w:next w:val="23"/>
    <w:autoRedefine/>
    <w:qFormat/>
    <w:uiPriority w:val="0"/>
    <w:pPr>
      <w:numPr>
        <w:ilvl w:val="4"/>
      </w:numPr>
      <w:outlineLvl w:val="5"/>
    </w:pPr>
  </w:style>
  <w:style w:type="paragraph" w:customStyle="1" w:styleId="55">
    <w:name w:val="五级条标题"/>
    <w:basedOn w:val="54"/>
    <w:next w:val="23"/>
    <w:autoRedefine/>
    <w:qFormat/>
    <w:uiPriority w:val="0"/>
    <w:pPr>
      <w:numPr>
        <w:ilvl w:val="5"/>
      </w:numPr>
      <w:tabs>
        <w:tab w:val="left" w:pos="360"/>
      </w:tabs>
      <w:outlineLvl w:val="6"/>
    </w:pPr>
  </w:style>
  <w:style w:type="paragraph" w:customStyle="1" w:styleId="56">
    <w:name w:val="注："/>
    <w:next w:val="23"/>
    <w:autoRedefine/>
    <w:qFormat/>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57">
    <w:name w:val="注×："/>
    <w:autoRedefine/>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58">
    <w:name w:val="字母编号列项（一级）"/>
    <w:autoRedefine/>
    <w:qFormat/>
    <w:uiPriority w:val="0"/>
    <w:pPr>
      <w:numPr>
        <w:ilvl w:val="0"/>
        <w:numId w:val="5"/>
      </w:numPr>
      <w:jc w:val="both"/>
    </w:pPr>
    <w:rPr>
      <w:rFonts w:ascii="宋体" w:hAnsi="Times New Roman" w:eastAsia="宋体" w:cs="Times New Roman"/>
      <w:sz w:val="21"/>
      <w:lang w:val="en-US" w:eastAsia="zh-CN" w:bidi="ar-SA"/>
    </w:rPr>
  </w:style>
  <w:style w:type="paragraph" w:customStyle="1" w:styleId="59">
    <w:name w:val="列项◆（三级）"/>
    <w:basedOn w:val="1"/>
    <w:autoRedefine/>
    <w:qFormat/>
    <w:uiPriority w:val="0"/>
    <w:pPr>
      <w:numPr>
        <w:ilvl w:val="2"/>
        <w:numId w:val="3"/>
      </w:numPr>
    </w:pPr>
    <w:rPr>
      <w:rFonts w:ascii="宋体"/>
      <w:szCs w:val="21"/>
    </w:rPr>
  </w:style>
  <w:style w:type="paragraph" w:customStyle="1" w:styleId="60">
    <w:name w:val="编号列项（三级）"/>
    <w:autoRedefine/>
    <w:qFormat/>
    <w:uiPriority w:val="0"/>
    <w:pPr>
      <w:numPr>
        <w:ilvl w:val="2"/>
        <w:numId w:val="5"/>
      </w:numPr>
    </w:pPr>
    <w:rPr>
      <w:rFonts w:ascii="宋体" w:hAnsi="Times New Roman" w:eastAsia="宋体" w:cs="Times New Roman"/>
      <w:sz w:val="21"/>
      <w:lang w:val="en-US" w:eastAsia="zh-CN" w:bidi="ar-SA"/>
    </w:rPr>
  </w:style>
  <w:style w:type="paragraph" w:customStyle="1" w:styleId="61">
    <w:name w:val="示例×："/>
    <w:basedOn w:val="44"/>
    <w:autoRedefine/>
    <w:qFormat/>
    <w:uiPriority w:val="0"/>
    <w:pPr>
      <w:numPr>
        <w:numId w:val="8"/>
      </w:numPr>
      <w:spacing w:beforeLines="0" w:afterLines="0"/>
      <w:outlineLvl w:val="9"/>
    </w:pPr>
    <w:rPr>
      <w:rFonts w:ascii="宋体" w:eastAsia="宋体"/>
      <w:sz w:val="18"/>
      <w:szCs w:val="18"/>
    </w:rPr>
  </w:style>
  <w:style w:type="paragraph" w:customStyle="1" w:styleId="62">
    <w:name w:val="二级无"/>
    <w:basedOn w:val="45"/>
    <w:link w:val="140"/>
    <w:autoRedefine/>
    <w:qFormat/>
    <w:uiPriority w:val="0"/>
    <w:pPr>
      <w:spacing w:beforeLines="0" w:afterLines="0"/>
    </w:pPr>
    <w:rPr>
      <w:rFonts w:ascii="宋体" w:eastAsia="宋体"/>
    </w:rPr>
  </w:style>
  <w:style w:type="paragraph" w:customStyle="1" w:styleId="63">
    <w:name w:val="注：（正文）"/>
    <w:basedOn w:val="56"/>
    <w:next w:val="23"/>
    <w:autoRedefine/>
    <w:qFormat/>
    <w:uiPriority w:val="0"/>
  </w:style>
  <w:style w:type="paragraph" w:customStyle="1" w:styleId="64">
    <w:name w:val="注×：（正文）"/>
    <w:autoRedefine/>
    <w:qFormat/>
    <w:uiPriority w:val="0"/>
    <w:pPr>
      <w:numPr>
        <w:ilvl w:val="0"/>
        <w:numId w:val="9"/>
      </w:numPr>
      <w:jc w:val="both"/>
    </w:pPr>
    <w:rPr>
      <w:rFonts w:ascii="宋体" w:hAnsi="Times New Roman" w:eastAsia="宋体" w:cs="Times New Roman"/>
      <w:sz w:val="18"/>
      <w:szCs w:val="18"/>
      <w:lang w:val="en-US" w:eastAsia="zh-CN" w:bidi="ar-SA"/>
    </w:rPr>
  </w:style>
  <w:style w:type="paragraph" w:customStyle="1" w:styleId="65">
    <w:name w:val="标准标志"/>
    <w:next w:val="1"/>
    <w:autoRedefine/>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66">
    <w:name w:val="标准称谓"/>
    <w:next w:val="1"/>
    <w:autoRedefine/>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67">
    <w:name w:val="标准书脚_偶数页"/>
    <w:autoRedefine/>
    <w:qFormat/>
    <w:uiPriority w:val="0"/>
    <w:pPr>
      <w:spacing w:before="120"/>
      <w:ind w:left="221"/>
    </w:pPr>
    <w:rPr>
      <w:rFonts w:ascii="宋体" w:hAnsi="Times New Roman" w:eastAsia="宋体" w:cs="Times New Roman"/>
      <w:sz w:val="18"/>
      <w:szCs w:val="18"/>
      <w:lang w:val="en-US" w:eastAsia="zh-CN" w:bidi="ar-SA"/>
    </w:rPr>
  </w:style>
  <w:style w:type="paragraph" w:customStyle="1" w:styleId="68">
    <w:name w:val="标准书眉_偶数页"/>
    <w:basedOn w:val="43"/>
    <w:next w:val="1"/>
    <w:autoRedefine/>
    <w:qFormat/>
    <w:uiPriority w:val="0"/>
    <w:pPr>
      <w:jc w:val="left"/>
    </w:pPr>
  </w:style>
  <w:style w:type="paragraph" w:customStyle="1" w:styleId="69">
    <w:name w:val="标准书眉一"/>
    <w:autoRedefine/>
    <w:qFormat/>
    <w:uiPriority w:val="0"/>
    <w:pPr>
      <w:jc w:val="both"/>
    </w:pPr>
    <w:rPr>
      <w:rFonts w:ascii="Times New Roman" w:hAnsi="Times New Roman" w:eastAsia="宋体" w:cs="Times New Roman"/>
      <w:lang w:val="en-US" w:eastAsia="zh-CN" w:bidi="ar-SA"/>
    </w:rPr>
  </w:style>
  <w:style w:type="paragraph" w:customStyle="1" w:styleId="70">
    <w:name w:val="参考文献"/>
    <w:basedOn w:val="1"/>
    <w:next w:val="23"/>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71">
    <w:name w:val="参考文献、索引标题"/>
    <w:basedOn w:val="1"/>
    <w:next w:val="23"/>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72">
    <w:name w:val="发布"/>
    <w:autoRedefine/>
    <w:qFormat/>
    <w:uiPriority w:val="0"/>
    <w:rPr>
      <w:rFonts w:ascii="黑体" w:eastAsia="黑体"/>
      <w:spacing w:val="85"/>
      <w:w w:val="100"/>
      <w:position w:val="3"/>
      <w:sz w:val="28"/>
      <w:szCs w:val="28"/>
    </w:rPr>
  </w:style>
  <w:style w:type="paragraph" w:customStyle="1" w:styleId="73">
    <w:name w:val="发布部门"/>
    <w:next w:val="23"/>
    <w:autoRedefine/>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4">
    <w:name w:val="发布日期"/>
    <w:autoRedefine/>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75">
    <w:name w:val="封面标准代替信息"/>
    <w:autoRedefine/>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76">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7">
    <w:name w:val="封面标准名称"/>
    <w:autoRedefine/>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8">
    <w:name w:val="封面标准英文名称"/>
    <w:basedOn w:val="77"/>
    <w:autoRedefine/>
    <w:qFormat/>
    <w:uiPriority w:val="0"/>
    <w:pPr>
      <w:framePr w:wrap="around"/>
      <w:spacing w:before="370" w:line="400" w:lineRule="exact"/>
    </w:pPr>
    <w:rPr>
      <w:rFonts w:ascii="Times New Roman"/>
      <w:sz w:val="28"/>
      <w:szCs w:val="28"/>
    </w:rPr>
  </w:style>
  <w:style w:type="paragraph" w:customStyle="1" w:styleId="79">
    <w:name w:val="封面一致性程度标识"/>
    <w:basedOn w:val="78"/>
    <w:autoRedefine/>
    <w:qFormat/>
    <w:uiPriority w:val="0"/>
    <w:pPr>
      <w:framePr w:wrap="around"/>
      <w:spacing w:before="440"/>
    </w:pPr>
    <w:rPr>
      <w:rFonts w:ascii="宋体" w:eastAsia="宋体"/>
    </w:rPr>
  </w:style>
  <w:style w:type="paragraph" w:customStyle="1" w:styleId="80">
    <w:name w:val="封面标准文稿类别"/>
    <w:basedOn w:val="79"/>
    <w:autoRedefine/>
    <w:qFormat/>
    <w:uiPriority w:val="0"/>
    <w:pPr>
      <w:framePr w:wrap="around"/>
      <w:spacing w:after="160" w:line="240" w:lineRule="auto"/>
    </w:pPr>
    <w:rPr>
      <w:sz w:val="24"/>
    </w:rPr>
  </w:style>
  <w:style w:type="paragraph" w:customStyle="1" w:styleId="81">
    <w:name w:val="封面标准文稿编辑信息"/>
    <w:basedOn w:val="80"/>
    <w:autoRedefine/>
    <w:qFormat/>
    <w:uiPriority w:val="0"/>
    <w:pPr>
      <w:framePr w:wrap="around"/>
      <w:spacing w:before="180" w:line="180" w:lineRule="exact"/>
    </w:pPr>
    <w:rPr>
      <w:sz w:val="21"/>
    </w:rPr>
  </w:style>
  <w:style w:type="paragraph" w:customStyle="1" w:styleId="82">
    <w:name w:val="封面正文"/>
    <w:autoRedefine/>
    <w:qFormat/>
    <w:uiPriority w:val="0"/>
    <w:pPr>
      <w:jc w:val="both"/>
    </w:pPr>
    <w:rPr>
      <w:rFonts w:ascii="Times New Roman" w:hAnsi="Times New Roman" w:eastAsia="宋体" w:cs="Times New Roman"/>
      <w:lang w:val="en-US" w:eastAsia="zh-CN" w:bidi="ar-SA"/>
    </w:rPr>
  </w:style>
  <w:style w:type="paragraph" w:customStyle="1" w:styleId="83">
    <w:name w:val="附录标识"/>
    <w:basedOn w:val="1"/>
    <w:next w:val="23"/>
    <w:autoRedefine/>
    <w:qFormat/>
    <w:uiPriority w:val="0"/>
    <w:pPr>
      <w:keepNext/>
      <w:widowControl/>
      <w:numPr>
        <w:ilvl w:val="0"/>
        <w:numId w:val="10"/>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4">
    <w:name w:val="附录标题"/>
    <w:basedOn w:val="23"/>
    <w:next w:val="23"/>
    <w:autoRedefine/>
    <w:qFormat/>
    <w:uiPriority w:val="0"/>
    <w:pPr>
      <w:ind w:firstLine="0" w:firstLineChars="0"/>
      <w:jc w:val="center"/>
    </w:pPr>
    <w:rPr>
      <w:rFonts w:ascii="黑体" w:eastAsia="黑体"/>
    </w:rPr>
  </w:style>
  <w:style w:type="paragraph" w:customStyle="1" w:styleId="85">
    <w:name w:val="附录表标号"/>
    <w:basedOn w:val="1"/>
    <w:next w:val="23"/>
    <w:autoRedefine/>
    <w:qFormat/>
    <w:uiPriority w:val="0"/>
    <w:pPr>
      <w:numPr>
        <w:ilvl w:val="0"/>
        <w:numId w:val="11"/>
      </w:numPr>
      <w:tabs>
        <w:tab w:val="clear" w:pos="0"/>
      </w:tabs>
      <w:spacing w:line="14" w:lineRule="exact"/>
      <w:ind w:left="811" w:hanging="448"/>
      <w:jc w:val="center"/>
      <w:outlineLvl w:val="0"/>
    </w:pPr>
    <w:rPr>
      <w:color w:val="FFFFFF"/>
    </w:rPr>
  </w:style>
  <w:style w:type="paragraph" w:customStyle="1" w:styleId="86">
    <w:name w:val="附录表标题"/>
    <w:basedOn w:val="1"/>
    <w:next w:val="23"/>
    <w:autoRedefine/>
    <w:qFormat/>
    <w:uiPriority w:val="0"/>
    <w:pPr>
      <w:numPr>
        <w:ilvl w:val="1"/>
        <w:numId w:val="11"/>
      </w:numPr>
      <w:tabs>
        <w:tab w:val="left" w:pos="180"/>
      </w:tabs>
      <w:spacing w:beforeLines="50" w:afterLines="50"/>
      <w:ind w:left="0" w:firstLine="0"/>
      <w:jc w:val="center"/>
    </w:pPr>
    <w:rPr>
      <w:rFonts w:ascii="黑体" w:eastAsia="黑体"/>
      <w:szCs w:val="21"/>
    </w:rPr>
  </w:style>
  <w:style w:type="paragraph" w:customStyle="1" w:styleId="87">
    <w:name w:val="附录二级条标题"/>
    <w:basedOn w:val="1"/>
    <w:next w:val="23"/>
    <w:autoRedefine/>
    <w:qFormat/>
    <w:uiPriority w:val="0"/>
    <w:pPr>
      <w:widowControl/>
      <w:numPr>
        <w:ilvl w:val="3"/>
        <w:numId w:val="10"/>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88">
    <w:name w:val="附录二级无"/>
    <w:basedOn w:val="87"/>
    <w:autoRedefine/>
    <w:qFormat/>
    <w:uiPriority w:val="0"/>
    <w:pPr>
      <w:tabs>
        <w:tab w:val="clear" w:pos="360"/>
      </w:tabs>
      <w:spacing w:beforeLines="0" w:afterLines="0"/>
    </w:pPr>
    <w:rPr>
      <w:rFonts w:ascii="宋体" w:eastAsia="宋体"/>
      <w:szCs w:val="21"/>
    </w:rPr>
  </w:style>
  <w:style w:type="paragraph" w:customStyle="1" w:styleId="89">
    <w:name w:val="附录公式"/>
    <w:basedOn w:val="23"/>
    <w:next w:val="23"/>
    <w:link w:val="90"/>
    <w:autoRedefine/>
    <w:qFormat/>
    <w:uiPriority w:val="0"/>
  </w:style>
  <w:style w:type="character" w:customStyle="1" w:styleId="90">
    <w:name w:val="附录公式 Char"/>
    <w:basedOn w:val="40"/>
    <w:link w:val="89"/>
    <w:autoRedefine/>
    <w:qFormat/>
    <w:uiPriority w:val="0"/>
    <w:rPr>
      <w:rFonts w:ascii="宋体"/>
      <w:sz w:val="21"/>
      <w:lang w:val="en-US" w:eastAsia="zh-CN" w:bidi="ar-SA"/>
    </w:rPr>
  </w:style>
  <w:style w:type="paragraph" w:customStyle="1" w:styleId="91">
    <w:name w:val="附录公式编号制表符"/>
    <w:basedOn w:val="1"/>
    <w:next w:val="23"/>
    <w:autoRedefine/>
    <w:qFormat/>
    <w:uiPriority w:val="0"/>
    <w:pPr>
      <w:widowControl/>
      <w:tabs>
        <w:tab w:val="center" w:pos="4201"/>
        <w:tab w:val="right" w:leader="dot" w:pos="9298"/>
      </w:tabs>
      <w:autoSpaceDE w:val="0"/>
      <w:autoSpaceDN w:val="0"/>
    </w:pPr>
    <w:rPr>
      <w:rFonts w:ascii="宋体"/>
      <w:kern w:val="0"/>
      <w:szCs w:val="20"/>
    </w:rPr>
  </w:style>
  <w:style w:type="paragraph" w:customStyle="1" w:styleId="92">
    <w:name w:val="附录三级条标题"/>
    <w:basedOn w:val="87"/>
    <w:next w:val="23"/>
    <w:autoRedefine/>
    <w:qFormat/>
    <w:uiPriority w:val="0"/>
    <w:pPr>
      <w:numPr>
        <w:ilvl w:val="4"/>
      </w:numPr>
      <w:outlineLvl w:val="4"/>
    </w:pPr>
  </w:style>
  <w:style w:type="paragraph" w:customStyle="1" w:styleId="93">
    <w:name w:val="附录三级无"/>
    <w:basedOn w:val="92"/>
    <w:autoRedefine/>
    <w:qFormat/>
    <w:uiPriority w:val="0"/>
    <w:pPr>
      <w:tabs>
        <w:tab w:val="clear" w:pos="360"/>
      </w:tabs>
      <w:spacing w:beforeLines="0" w:afterLines="0"/>
    </w:pPr>
    <w:rPr>
      <w:rFonts w:ascii="宋体" w:eastAsia="宋体"/>
      <w:szCs w:val="21"/>
    </w:rPr>
  </w:style>
  <w:style w:type="paragraph" w:customStyle="1" w:styleId="94">
    <w:name w:val="附录数字编号列项（二级）"/>
    <w:autoRedefine/>
    <w:qFormat/>
    <w:uiPriority w:val="0"/>
    <w:pPr>
      <w:numPr>
        <w:ilvl w:val="1"/>
        <w:numId w:val="12"/>
      </w:numPr>
    </w:pPr>
    <w:rPr>
      <w:rFonts w:ascii="宋体" w:hAnsi="Times New Roman" w:eastAsia="宋体" w:cs="Times New Roman"/>
      <w:sz w:val="21"/>
      <w:lang w:val="en-US" w:eastAsia="zh-CN" w:bidi="ar-SA"/>
    </w:rPr>
  </w:style>
  <w:style w:type="paragraph" w:customStyle="1" w:styleId="95">
    <w:name w:val="附录四级条标题"/>
    <w:basedOn w:val="92"/>
    <w:next w:val="23"/>
    <w:autoRedefine/>
    <w:qFormat/>
    <w:uiPriority w:val="0"/>
    <w:pPr>
      <w:numPr>
        <w:ilvl w:val="5"/>
      </w:numPr>
      <w:outlineLvl w:val="5"/>
    </w:pPr>
  </w:style>
  <w:style w:type="paragraph" w:customStyle="1" w:styleId="96">
    <w:name w:val="附录四级无"/>
    <w:basedOn w:val="95"/>
    <w:autoRedefine/>
    <w:qFormat/>
    <w:uiPriority w:val="0"/>
    <w:pPr>
      <w:tabs>
        <w:tab w:val="clear" w:pos="360"/>
      </w:tabs>
      <w:spacing w:beforeLines="0" w:afterLines="0"/>
    </w:pPr>
    <w:rPr>
      <w:rFonts w:ascii="宋体" w:eastAsia="宋体"/>
      <w:szCs w:val="21"/>
    </w:rPr>
  </w:style>
  <w:style w:type="paragraph" w:customStyle="1" w:styleId="97">
    <w:name w:val="附录图标号"/>
    <w:basedOn w:val="1"/>
    <w:autoRedefine/>
    <w:qFormat/>
    <w:uiPriority w:val="0"/>
    <w:pPr>
      <w:keepNext/>
      <w:pageBreakBefore/>
      <w:widowControl/>
      <w:numPr>
        <w:ilvl w:val="0"/>
        <w:numId w:val="13"/>
      </w:numPr>
      <w:spacing w:line="14" w:lineRule="exact"/>
      <w:ind w:left="0" w:firstLine="363"/>
      <w:jc w:val="center"/>
      <w:outlineLvl w:val="0"/>
    </w:pPr>
    <w:rPr>
      <w:color w:val="FFFFFF"/>
    </w:rPr>
  </w:style>
  <w:style w:type="paragraph" w:customStyle="1" w:styleId="98">
    <w:name w:val="附录图标题"/>
    <w:basedOn w:val="1"/>
    <w:next w:val="23"/>
    <w:autoRedefine/>
    <w:qFormat/>
    <w:uiPriority w:val="0"/>
    <w:pPr>
      <w:numPr>
        <w:ilvl w:val="1"/>
        <w:numId w:val="13"/>
      </w:numPr>
      <w:tabs>
        <w:tab w:val="left" w:pos="363"/>
      </w:tabs>
      <w:spacing w:beforeLines="50" w:afterLines="50"/>
      <w:ind w:left="0" w:firstLine="0"/>
      <w:jc w:val="center"/>
    </w:pPr>
    <w:rPr>
      <w:rFonts w:ascii="黑体" w:eastAsia="黑体"/>
      <w:szCs w:val="21"/>
    </w:rPr>
  </w:style>
  <w:style w:type="paragraph" w:customStyle="1" w:styleId="99">
    <w:name w:val="附录五级条标题"/>
    <w:basedOn w:val="95"/>
    <w:next w:val="23"/>
    <w:autoRedefine/>
    <w:qFormat/>
    <w:uiPriority w:val="0"/>
    <w:pPr>
      <w:numPr>
        <w:ilvl w:val="6"/>
      </w:numPr>
      <w:outlineLvl w:val="6"/>
    </w:pPr>
  </w:style>
  <w:style w:type="paragraph" w:customStyle="1" w:styleId="100">
    <w:name w:val="附录五级无"/>
    <w:basedOn w:val="99"/>
    <w:autoRedefine/>
    <w:qFormat/>
    <w:uiPriority w:val="0"/>
    <w:pPr>
      <w:tabs>
        <w:tab w:val="clear" w:pos="360"/>
      </w:tabs>
      <w:spacing w:beforeLines="0" w:afterLines="0"/>
    </w:pPr>
    <w:rPr>
      <w:rFonts w:ascii="宋体" w:eastAsia="宋体"/>
      <w:szCs w:val="21"/>
    </w:rPr>
  </w:style>
  <w:style w:type="paragraph" w:customStyle="1" w:styleId="101">
    <w:name w:val="附录章标题"/>
    <w:next w:val="23"/>
    <w:autoRedefine/>
    <w:qFormat/>
    <w:uiPriority w:val="0"/>
    <w:pPr>
      <w:numPr>
        <w:ilvl w:val="1"/>
        <w:numId w:val="10"/>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02">
    <w:name w:val="附录一级条标题"/>
    <w:basedOn w:val="101"/>
    <w:next w:val="23"/>
    <w:autoRedefine/>
    <w:qFormat/>
    <w:uiPriority w:val="0"/>
    <w:pPr>
      <w:numPr>
        <w:ilvl w:val="2"/>
      </w:numPr>
      <w:autoSpaceDN w:val="0"/>
      <w:spacing w:beforeLines="50" w:afterLines="50"/>
      <w:outlineLvl w:val="2"/>
    </w:pPr>
  </w:style>
  <w:style w:type="paragraph" w:customStyle="1" w:styleId="103">
    <w:name w:val="附录一级无"/>
    <w:basedOn w:val="102"/>
    <w:autoRedefine/>
    <w:qFormat/>
    <w:uiPriority w:val="0"/>
    <w:pPr>
      <w:tabs>
        <w:tab w:val="clear" w:pos="360"/>
      </w:tabs>
      <w:spacing w:beforeLines="0" w:afterLines="0"/>
    </w:pPr>
    <w:rPr>
      <w:rFonts w:ascii="宋体" w:eastAsia="宋体"/>
      <w:szCs w:val="21"/>
    </w:rPr>
  </w:style>
  <w:style w:type="paragraph" w:customStyle="1" w:styleId="104">
    <w:name w:val="附录字母编号列项（一级）"/>
    <w:autoRedefine/>
    <w:qFormat/>
    <w:uiPriority w:val="0"/>
    <w:pPr>
      <w:numPr>
        <w:ilvl w:val="0"/>
        <w:numId w:val="12"/>
      </w:numPr>
    </w:pPr>
    <w:rPr>
      <w:rFonts w:ascii="宋体" w:hAnsi="Times New Roman" w:eastAsia="宋体" w:cs="Times New Roman"/>
      <w:sz w:val="21"/>
      <w:lang w:val="en-US" w:eastAsia="zh-CN" w:bidi="ar-SA"/>
    </w:rPr>
  </w:style>
  <w:style w:type="paragraph" w:customStyle="1" w:styleId="105">
    <w:name w:val="列项说明"/>
    <w:basedOn w:val="1"/>
    <w:autoRedefine/>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6">
    <w:name w:val="列项说明数字编号"/>
    <w:autoRedefine/>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07">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08">
    <w:name w:val="其他标准标志"/>
    <w:basedOn w:val="65"/>
    <w:autoRedefine/>
    <w:qFormat/>
    <w:uiPriority w:val="0"/>
    <w:pPr>
      <w:framePr w:w="6101" w:wrap="around" w:vAnchor="page" w:hAnchor="page" w:x="4673" w:y="942"/>
    </w:pPr>
    <w:rPr>
      <w:w w:val="130"/>
    </w:rPr>
  </w:style>
  <w:style w:type="paragraph" w:customStyle="1" w:styleId="109">
    <w:name w:val="其他标准称谓"/>
    <w:next w:val="1"/>
    <w:autoRedefine/>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0">
    <w:name w:val="其他发布部门"/>
    <w:basedOn w:val="73"/>
    <w:autoRedefine/>
    <w:qFormat/>
    <w:uiPriority w:val="0"/>
    <w:pPr>
      <w:framePr w:wrap="around" w:y="15310"/>
      <w:spacing w:line="0" w:lineRule="atLeast"/>
    </w:pPr>
    <w:rPr>
      <w:rFonts w:ascii="黑体" w:eastAsia="黑体"/>
      <w:b w:val="0"/>
    </w:rPr>
  </w:style>
  <w:style w:type="paragraph" w:customStyle="1" w:styleId="111">
    <w:name w:val="前言、引言标题"/>
    <w:next w:val="23"/>
    <w:autoRedefine/>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2">
    <w:name w:val="三级无"/>
    <w:basedOn w:val="50"/>
    <w:autoRedefine/>
    <w:qFormat/>
    <w:uiPriority w:val="0"/>
    <w:pPr>
      <w:spacing w:beforeLines="0" w:afterLines="0"/>
    </w:pPr>
    <w:rPr>
      <w:rFonts w:ascii="宋体" w:eastAsia="宋体"/>
    </w:rPr>
  </w:style>
  <w:style w:type="paragraph" w:customStyle="1" w:styleId="113">
    <w:name w:val="实施日期"/>
    <w:basedOn w:val="74"/>
    <w:autoRedefine/>
    <w:qFormat/>
    <w:uiPriority w:val="0"/>
    <w:pPr>
      <w:framePr w:wrap="around" w:vAnchor="page" w:hAnchor="text"/>
      <w:jc w:val="right"/>
    </w:pPr>
  </w:style>
  <w:style w:type="paragraph" w:customStyle="1" w:styleId="114">
    <w:name w:val="示例后文字"/>
    <w:basedOn w:val="23"/>
    <w:next w:val="23"/>
    <w:autoRedefine/>
    <w:qFormat/>
    <w:uiPriority w:val="0"/>
    <w:pPr>
      <w:ind w:firstLine="360"/>
    </w:pPr>
    <w:rPr>
      <w:sz w:val="18"/>
    </w:rPr>
  </w:style>
  <w:style w:type="paragraph" w:customStyle="1" w:styleId="115">
    <w:name w:val="首示例"/>
    <w:next w:val="23"/>
    <w:link w:val="116"/>
    <w:autoRedefine/>
    <w:qFormat/>
    <w:uiPriority w:val="0"/>
    <w:pPr>
      <w:numPr>
        <w:ilvl w:val="0"/>
        <w:numId w:val="14"/>
      </w:numPr>
      <w:tabs>
        <w:tab w:val="left" w:pos="360"/>
      </w:tabs>
      <w:ind w:firstLine="0"/>
    </w:pPr>
    <w:rPr>
      <w:rFonts w:ascii="宋体" w:hAnsi="宋体" w:eastAsia="宋体" w:cs="Times New Roman"/>
      <w:kern w:val="2"/>
      <w:sz w:val="18"/>
      <w:szCs w:val="18"/>
      <w:lang w:val="en-US" w:eastAsia="zh-CN" w:bidi="ar-SA"/>
    </w:rPr>
  </w:style>
  <w:style w:type="character" w:customStyle="1" w:styleId="116">
    <w:name w:val="首示例 Char"/>
    <w:link w:val="115"/>
    <w:autoRedefine/>
    <w:qFormat/>
    <w:uiPriority w:val="0"/>
    <w:rPr>
      <w:rFonts w:ascii="宋体" w:hAnsi="宋体"/>
      <w:kern w:val="2"/>
      <w:sz w:val="18"/>
      <w:szCs w:val="18"/>
    </w:rPr>
  </w:style>
  <w:style w:type="paragraph" w:customStyle="1" w:styleId="117">
    <w:name w:val="四级无"/>
    <w:basedOn w:val="54"/>
    <w:autoRedefine/>
    <w:qFormat/>
    <w:uiPriority w:val="0"/>
    <w:pPr>
      <w:spacing w:beforeLines="0" w:afterLines="0"/>
    </w:pPr>
    <w:rPr>
      <w:rFonts w:ascii="宋体" w:eastAsia="宋体"/>
    </w:rPr>
  </w:style>
  <w:style w:type="paragraph" w:customStyle="1" w:styleId="118">
    <w:name w:val="条文脚注"/>
    <w:basedOn w:val="24"/>
    <w:autoRedefine/>
    <w:qFormat/>
    <w:uiPriority w:val="0"/>
    <w:pPr>
      <w:numPr>
        <w:numId w:val="0"/>
      </w:numPr>
      <w:jc w:val="both"/>
    </w:pPr>
  </w:style>
  <w:style w:type="paragraph" w:customStyle="1" w:styleId="119">
    <w:name w:val="图标脚注说明"/>
    <w:basedOn w:val="23"/>
    <w:autoRedefine/>
    <w:qFormat/>
    <w:uiPriority w:val="0"/>
    <w:pPr>
      <w:ind w:left="840" w:hanging="420" w:firstLineChars="0"/>
    </w:pPr>
    <w:rPr>
      <w:sz w:val="18"/>
      <w:szCs w:val="18"/>
    </w:rPr>
  </w:style>
  <w:style w:type="paragraph" w:customStyle="1" w:styleId="120">
    <w:name w:val="图表脚注说明"/>
    <w:basedOn w:val="1"/>
    <w:autoRedefine/>
    <w:qFormat/>
    <w:uiPriority w:val="0"/>
    <w:pPr>
      <w:numPr>
        <w:ilvl w:val="0"/>
        <w:numId w:val="15"/>
      </w:numPr>
    </w:pPr>
    <w:rPr>
      <w:rFonts w:ascii="宋体"/>
      <w:sz w:val="18"/>
      <w:szCs w:val="18"/>
    </w:rPr>
  </w:style>
  <w:style w:type="paragraph" w:customStyle="1" w:styleId="121">
    <w:name w:val="图的脚注"/>
    <w:next w:val="23"/>
    <w:autoRedefine/>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22">
    <w:name w:val="文献分类号"/>
    <w:autoRedefine/>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3">
    <w:name w:val="五级无"/>
    <w:basedOn w:val="55"/>
    <w:autoRedefine/>
    <w:qFormat/>
    <w:uiPriority w:val="0"/>
    <w:pPr>
      <w:spacing w:beforeLines="0" w:afterLines="0"/>
    </w:pPr>
    <w:rPr>
      <w:rFonts w:ascii="宋体" w:eastAsia="宋体"/>
    </w:rPr>
  </w:style>
  <w:style w:type="paragraph" w:customStyle="1" w:styleId="124">
    <w:name w:val="一级无"/>
    <w:basedOn w:val="41"/>
    <w:autoRedefine/>
    <w:qFormat/>
    <w:uiPriority w:val="0"/>
    <w:pPr>
      <w:spacing w:beforeLines="0" w:afterLines="0"/>
    </w:pPr>
    <w:rPr>
      <w:rFonts w:ascii="宋体" w:eastAsia="宋体"/>
    </w:rPr>
  </w:style>
  <w:style w:type="paragraph" w:customStyle="1" w:styleId="125">
    <w:name w:val="正文表标题"/>
    <w:next w:val="23"/>
    <w:autoRedefine/>
    <w:qFormat/>
    <w:uiPriority w:val="0"/>
    <w:pPr>
      <w:numPr>
        <w:ilvl w:val="0"/>
        <w:numId w:val="16"/>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26">
    <w:name w:val="正文公式编号制表符"/>
    <w:basedOn w:val="23"/>
    <w:next w:val="23"/>
    <w:autoRedefine/>
    <w:qFormat/>
    <w:uiPriority w:val="0"/>
    <w:pPr>
      <w:ind w:firstLine="0" w:firstLineChars="0"/>
    </w:pPr>
  </w:style>
  <w:style w:type="paragraph" w:customStyle="1" w:styleId="127">
    <w:name w:val="正文图标题"/>
    <w:next w:val="23"/>
    <w:autoRedefine/>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28">
    <w:name w:val="终结线"/>
    <w:basedOn w:val="1"/>
    <w:autoRedefine/>
    <w:qFormat/>
    <w:uiPriority w:val="0"/>
    <w:pPr>
      <w:framePr w:hSpace="181" w:vSpace="181" w:wrap="around" w:vAnchor="text" w:hAnchor="margin" w:xAlign="center" w:y="285"/>
    </w:pPr>
  </w:style>
  <w:style w:type="paragraph" w:customStyle="1" w:styleId="129">
    <w:name w:val="其他发布日期"/>
    <w:basedOn w:val="74"/>
    <w:autoRedefine/>
    <w:qFormat/>
    <w:uiPriority w:val="0"/>
    <w:pPr>
      <w:framePr w:wrap="around" w:vAnchor="page" w:hAnchor="text" w:x="1419"/>
    </w:pPr>
  </w:style>
  <w:style w:type="paragraph" w:customStyle="1" w:styleId="130">
    <w:name w:val="其他实施日期"/>
    <w:basedOn w:val="113"/>
    <w:autoRedefine/>
    <w:qFormat/>
    <w:uiPriority w:val="0"/>
    <w:pPr>
      <w:framePr w:wrap="around"/>
    </w:pPr>
  </w:style>
  <w:style w:type="paragraph" w:customStyle="1" w:styleId="131">
    <w:name w:val="封面标准名称2"/>
    <w:basedOn w:val="77"/>
    <w:autoRedefine/>
    <w:qFormat/>
    <w:uiPriority w:val="0"/>
    <w:pPr>
      <w:framePr w:wrap="around" w:y="4469"/>
      <w:spacing w:beforeLines="630"/>
    </w:pPr>
  </w:style>
  <w:style w:type="paragraph" w:customStyle="1" w:styleId="132">
    <w:name w:val="封面标准英文名称2"/>
    <w:basedOn w:val="78"/>
    <w:autoRedefine/>
    <w:qFormat/>
    <w:uiPriority w:val="0"/>
    <w:pPr>
      <w:framePr w:wrap="around" w:y="4469"/>
    </w:pPr>
  </w:style>
  <w:style w:type="paragraph" w:customStyle="1" w:styleId="133">
    <w:name w:val="封面一致性程度标识2"/>
    <w:basedOn w:val="79"/>
    <w:autoRedefine/>
    <w:qFormat/>
    <w:uiPriority w:val="0"/>
    <w:pPr>
      <w:framePr w:wrap="around" w:y="4469"/>
    </w:pPr>
  </w:style>
  <w:style w:type="paragraph" w:customStyle="1" w:styleId="134">
    <w:name w:val="封面标准文稿类别2"/>
    <w:basedOn w:val="80"/>
    <w:autoRedefine/>
    <w:qFormat/>
    <w:uiPriority w:val="0"/>
    <w:pPr>
      <w:framePr w:wrap="around" w:y="4469"/>
    </w:pPr>
  </w:style>
  <w:style w:type="paragraph" w:customStyle="1" w:styleId="135">
    <w:name w:val="封面标准文稿编辑信息2"/>
    <w:basedOn w:val="81"/>
    <w:autoRedefine/>
    <w:qFormat/>
    <w:uiPriority w:val="0"/>
    <w:pPr>
      <w:framePr w:wrap="around" w:y="4469"/>
    </w:pPr>
  </w:style>
  <w:style w:type="paragraph" w:customStyle="1" w:styleId="136">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37">
    <w:name w:val="页脚 字符"/>
    <w:link w:val="17"/>
    <w:autoRedefine/>
    <w:qFormat/>
    <w:locked/>
    <w:uiPriority w:val="0"/>
    <w:rPr>
      <w:rFonts w:eastAsia="宋体"/>
      <w:kern w:val="2"/>
      <w:sz w:val="18"/>
      <w:szCs w:val="18"/>
      <w:lang w:val="en-US" w:eastAsia="zh-CN" w:bidi="ar-SA"/>
    </w:rPr>
  </w:style>
  <w:style w:type="character" w:customStyle="1" w:styleId="138">
    <w:name w:val="一级条标题 Char"/>
    <w:link w:val="41"/>
    <w:autoRedefine/>
    <w:qFormat/>
    <w:uiPriority w:val="0"/>
    <w:rPr>
      <w:rFonts w:ascii="黑体" w:eastAsia="黑体"/>
      <w:sz w:val="21"/>
      <w:szCs w:val="21"/>
    </w:rPr>
  </w:style>
  <w:style w:type="character" w:customStyle="1" w:styleId="139">
    <w:name w:val="二级条标题 Char"/>
    <w:basedOn w:val="138"/>
    <w:link w:val="45"/>
    <w:autoRedefine/>
    <w:qFormat/>
    <w:uiPriority w:val="0"/>
    <w:rPr>
      <w:rFonts w:ascii="黑体" w:eastAsia="黑体"/>
      <w:sz w:val="21"/>
      <w:szCs w:val="21"/>
    </w:rPr>
  </w:style>
  <w:style w:type="character" w:customStyle="1" w:styleId="140">
    <w:name w:val="二级无 Char"/>
    <w:link w:val="62"/>
    <w:autoRedefine/>
    <w:qFormat/>
    <w:uiPriority w:val="0"/>
    <w:rPr>
      <w:rFonts w:ascii="宋体"/>
      <w:sz w:val="21"/>
      <w:szCs w:val="21"/>
    </w:rPr>
  </w:style>
  <w:style w:type="character" w:customStyle="1" w:styleId="141">
    <w:name w:val="标题 3 字符"/>
    <w:basedOn w:val="33"/>
    <w:link w:val="2"/>
    <w:autoRedefine/>
    <w:qFormat/>
    <w:uiPriority w:val="9"/>
    <w:rPr>
      <w:rFonts w:ascii="宋体" w:hAnsi="宋体" w:cs="宋体"/>
      <w:b/>
      <w:bCs/>
      <w:sz w:val="27"/>
      <w:szCs w:val="27"/>
    </w:rPr>
  </w:style>
  <w:style w:type="character" w:customStyle="1" w:styleId="142">
    <w:name w:val="日期 字符"/>
    <w:basedOn w:val="33"/>
    <w:link w:val="15"/>
    <w:autoRedefine/>
    <w:qFormat/>
    <w:uiPriority w:val="0"/>
    <w:rPr>
      <w:kern w:val="2"/>
      <w:sz w:val="21"/>
      <w:szCs w:val="24"/>
    </w:rPr>
  </w:style>
  <w:style w:type="table" w:customStyle="1" w:styleId="143">
    <w:name w:val="网格型1"/>
    <w:basedOn w:val="31"/>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
    <w:name w:val="批注文字 字符"/>
    <w:basedOn w:val="33"/>
    <w:link w:val="8"/>
    <w:autoRedefine/>
    <w:qFormat/>
    <w:uiPriority w:val="0"/>
    <w:rPr>
      <w:kern w:val="2"/>
      <w:sz w:val="21"/>
      <w:szCs w:val="24"/>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zle</Company>
  <Pages>6</Pages>
  <Words>1827</Words>
  <Characters>2386</Characters>
  <Lines>22</Lines>
  <Paragraphs>6</Paragraphs>
  <TotalTime>26</TotalTime>
  <ScaleCrop>false</ScaleCrop>
  <LinksUpToDate>false</LinksUpToDate>
  <CharactersWithSpaces>2504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2022-03-18T13:56:00Z</dcterms:created>
  <dc:creator>CNIS</dc:creator>
  <cp:lastModifiedBy>审稿人</cp:lastModifiedBy>
  <dcterms:modified xsi:type="dcterms:W3CDTF">2024-08-30T23:37:05Z</dcterms:modified>
  <dc:title>标准名称</dc:title>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F6AE2DE06A6B489C8EDC461CD6851B21_13</vt:lpwstr>
  </property>
</Properties>
</file>