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8A534">
      <w:pPr>
        <w:pStyle w:val="119"/>
        <w:framePr w:wrap="around"/>
        <w:rPr>
          <w:rFonts w:ascii="Times New Roman"/>
        </w:rPr>
      </w:pPr>
      <w:r>
        <w:rPr>
          <w:rFonts w:ascii="Times New Roman"/>
        </w:rPr>
        <w:t>ICS </w:t>
      </w:r>
      <w:r>
        <w:rPr>
          <w:rFonts w:ascii="Times New Roman"/>
        </w:rPr>
        <w:fldChar w:fldCharType="begin">
          <w:ffData>
            <w:name w:val="ICS"/>
            <w:enabled/>
            <w:calcOnExit w:val="0"/>
            <w:helpText w:type="text" w:val="请输入正确的ICS号："/>
            <w:textInput>
              <w:default w:val="点击此处添加ICS号"/>
            </w:textInput>
          </w:ffData>
        </w:fldChar>
      </w:r>
      <w:bookmarkStart w:id="0" w:name="ICS"/>
      <w:r>
        <w:rPr>
          <w:rFonts w:ascii="Times New Roman"/>
        </w:rPr>
        <w:instrText xml:space="preserve"> FORMTEXT </w:instrText>
      </w:r>
      <w:r>
        <w:rPr>
          <w:rFonts w:ascii="Times New Roman"/>
        </w:rPr>
        <w:fldChar w:fldCharType="separate"/>
      </w:r>
      <w:r>
        <w:rPr>
          <w:rFonts w:ascii="Times New Roman"/>
        </w:rPr>
        <w:t>67.140.10</w:t>
      </w:r>
      <w:r>
        <w:rPr>
          <w:rFonts w:ascii="Times New Roman"/>
        </w:rPr>
        <w:fldChar w:fldCharType="end"/>
      </w:r>
      <w:bookmarkEnd w:id="0"/>
    </w:p>
    <w:p w14:paraId="625AA56B">
      <w:pPr>
        <w:pStyle w:val="119"/>
        <w:framePr w:wrap="around"/>
        <w:rPr>
          <w:rFonts w:ascii="Times New Roman"/>
        </w:rPr>
      </w:pPr>
      <w:r>
        <w:rPr>
          <w:rFonts w:ascii="Times New Roman"/>
        </w:rPr>
        <w:fldChar w:fldCharType="begin">
          <w:ffData>
            <w:name w:val="WXFLH"/>
            <w:enabled/>
            <w:calcOnExit w:val="0"/>
            <w:helpText w:type="text" w:val="请输入中国标准文献分类号："/>
            <w:textInput>
              <w:default w:val="点击此处添加中国标准文献分类号"/>
            </w:textInput>
          </w:ffData>
        </w:fldChar>
      </w:r>
      <w:bookmarkStart w:id="1" w:name="WXFLH"/>
      <w:r>
        <w:rPr>
          <w:rFonts w:ascii="Times New Roman"/>
        </w:rPr>
        <w:instrText xml:space="preserve"> FORMTEXT </w:instrText>
      </w:r>
      <w:r>
        <w:rPr>
          <w:rFonts w:ascii="Times New Roman"/>
        </w:rPr>
        <w:fldChar w:fldCharType="separate"/>
      </w:r>
      <w:r>
        <w:rPr>
          <w:rFonts w:ascii="Times New Roman"/>
        </w:rPr>
        <w:t>X 55</w:t>
      </w:r>
      <w:r>
        <w:rPr>
          <w:rFonts w:ascii="Times New Roman"/>
        </w:rPr>
        <w:fldChar w:fldCharType="end"/>
      </w:r>
      <w:bookmarkEnd w:id="1"/>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3AECD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tcBorders>
              <w:top w:val="nil"/>
              <w:left w:val="nil"/>
              <w:bottom w:val="nil"/>
              <w:right w:val="nil"/>
            </w:tcBorders>
            <w:shd w:val="clear" w:color="auto" w:fill="auto"/>
          </w:tcPr>
          <w:p w14:paraId="2E0ABCEF">
            <w:pPr>
              <w:pStyle w:val="119"/>
              <w:framePr w:wrap="around"/>
              <w:rPr>
                <w:rFonts w:ascii="Times New Roman"/>
              </w:rPr>
            </w:pPr>
            <w:r>
              <w:rPr>
                <w:rFonts w:ascii="Times New Roman"/>
              </w:rPr>
              <w:fldChar w:fldCharType="begin">
                <w:ffData>
                  <w:name w:val="BAH"/>
                  <w:enabled/>
                  <w:calcOnExit w:val="0"/>
                  <w:textInput/>
                </w:ffData>
              </w:fldChar>
            </w:r>
            <w:bookmarkStart w:id="2" w:name="BAH"/>
            <w:r>
              <w:rPr>
                <w:rFonts w:ascii="Times New Roman"/>
              </w:rPr>
              <w:instrText xml:space="preserve"> </w:instrText>
            </w:r>
            <w:r>
              <w:rPr>
                <w:rFonts w:hint="eastAsia" w:ascii="Times New Roman"/>
              </w:rPr>
              <w:instrText xml:space="preserve">FORMTEXT</w:instrText>
            </w:r>
            <w:r>
              <w:rPr>
                <w:rFonts w:ascii="Times New Roman"/>
              </w:rPr>
              <w:instrText xml:space="preserve"> </w:instrText>
            </w:r>
            <w:r>
              <w:rPr>
                <w:rFonts w:ascii="Times New Roman"/>
              </w:rPr>
              <w:fldChar w:fldCharType="separate"/>
            </w:r>
            <w:r>
              <w:rPr>
                <w:rFonts w:ascii="Times New Roman"/>
              </w:rPr>
              <w:t>     </w:t>
            </w:r>
            <w:r>
              <w:rPr>
                <w:rFonts w:ascii="Times New Roman"/>
              </w:rPr>
              <w:fldChar w:fldCharType="end"/>
            </w:r>
            <w:bookmarkEnd w:id="2"/>
          </w:p>
        </w:tc>
      </w:tr>
    </w:tbl>
    <w:p w14:paraId="16D9A671">
      <w:pPr>
        <w:pStyle w:val="105"/>
        <w:framePr w:wrap="around"/>
      </w:pPr>
      <w:r>
        <w:t>D</w:t>
      </w:r>
      <w:r>
        <w:rPr>
          <w:spacing w:val="100"/>
        </w:rPr>
        <w:t>B</w:t>
      </w:r>
      <w:r>
        <w:fldChar w:fldCharType="begin">
          <w:ffData>
            <w:name w:val="c3"/>
            <w:enabled/>
            <w:calcOnExit w:val="0"/>
            <w:entryMacro w:val="ShowHelp16"/>
            <w:textInput/>
          </w:ffData>
        </w:fldChar>
      </w:r>
      <w:bookmarkStart w:id="3" w:name="c3"/>
      <w:r>
        <w:instrText xml:space="preserve"> FORMTEXT </w:instrText>
      </w:r>
      <w:r>
        <w:fldChar w:fldCharType="separate"/>
      </w:r>
      <w:r>
        <w:t>     </w:t>
      </w:r>
      <w:r>
        <w:fldChar w:fldCharType="end"/>
      </w:r>
      <w:bookmarkEnd w:id="3"/>
    </w:p>
    <w:p w14:paraId="20565C27">
      <w:pPr>
        <w:pStyle w:val="106"/>
        <w:framePr w:wrap="around"/>
        <w:rPr>
          <w:rFonts w:ascii="Times New Roman" w:hAnsi="Times New Roman"/>
        </w:rPr>
      </w:pPr>
      <w:r>
        <w:rPr>
          <w:rFonts w:ascii="Times New Roman" w:hAnsi="Times New Roman"/>
        </w:rPr>
        <w:fldChar w:fldCharType="begin">
          <w:ffData>
            <w:name w:val="c4"/>
            <w:enabled/>
            <w:calcOnExit w:val="0"/>
            <w:entryMacro w:val="showhelp12"/>
            <w:textInput/>
          </w:ffData>
        </w:fldChar>
      </w:r>
      <w:bookmarkStart w:id="4" w:name="c4"/>
      <w:r>
        <w:rPr>
          <w:rFonts w:ascii="Times New Roman" w:hAnsi="Times New Roman"/>
        </w:rPr>
        <w:instrText xml:space="preserve"> FORMTEXT </w:instrText>
      </w:r>
      <w:r>
        <w:rPr>
          <w:rFonts w:ascii="Times New Roman" w:hAnsi="Times New Roman"/>
        </w:rPr>
        <w:fldChar w:fldCharType="separate"/>
      </w:r>
      <w:r>
        <w:rPr>
          <w:rFonts w:hint="eastAsia" w:ascii="Times New Roman" w:hAnsi="Times New Roman"/>
        </w:rPr>
        <w:t>安徽省池州市</w:t>
      </w:r>
      <w:r>
        <w:rPr>
          <w:rFonts w:ascii="Times New Roman" w:hAnsi="Times New Roman"/>
        </w:rPr>
        <w:fldChar w:fldCharType="end"/>
      </w:r>
      <w:bookmarkEnd w:id="4"/>
      <w:r>
        <w:rPr>
          <w:rFonts w:ascii="Times New Roman" w:hAnsi="Times New Roman"/>
        </w:rPr>
        <w:t>地方标准</w:t>
      </w:r>
    </w:p>
    <w:p w14:paraId="146F0F82">
      <w:pPr>
        <w:pStyle w:val="43"/>
        <w:framePr w:wrap="around"/>
        <w:rPr>
          <w:rFonts w:ascii="Times New Roman"/>
        </w:rPr>
      </w:pPr>
      <w:r>
        <w:rPr>
          <w:rFonts w:ascii="Times New Roman"/>
        </w:rPr>
        <w:t xml:space="preserve">DB </w:t>
      </w:r>
      <w:r>
        <w:rPr>
          <w:rFonts w:ascii="Times New Roman"/>
        </w:rPr>
        <w:fldChar w:fldCharType="begin">
          <w:ffData>
            <w:name w:val="StdNo0"/>
            <w:enabled/>
            <w:calcOnExit w:val="0"/>
            <w:textInput>
              <w:default w:val="××/T"/>
            </w:textInput>
          </w:ffData>
        </w:fldChar>
      </w:r>
      <w:bookmarkStart w:id="5" w:name="StdNo0"/>
      <w:r>
        <w:rPr>
          <w:rFonts w:ascii="Times New Roman"/>
        </w:rPr>
        <w:instrText xml:space="preserve"> FORMTEXT </w:instrText>
      </w:r>
      <w:r>
        <w:rPr>
          <w:rFonts w:ascii="Times New Roman"/>
        </w:rPr>
        <w:fldChar w:fldCharType="separate"/>
      </w:r>
      <w:r>
        <w:rPr>
          <w:rFonts w:ascii="Times New Roman"/>
        </w:rPr>
        <w:t>××/T</w:t>
      </w:r>
      <w:r>
        <w:rPr>
          <w:rFonts w:ascii="Times New Roman"/>
        </w:rPr>
        <w:fldChar w:fldCharType="end"/>
      </w:r>
      <w:bookmarkEnd w:id="5"/>
      <w:r>
        <w:rPr>
          <w:rFonts w:ascii="Times New Roman"/>
        </w:rPr>
        <w:t xml:space="preserve"> </w:t>
      </w:r>
      <w:r>
        <w:rPr>
          <w:rFonts w:ascii="Times New Roman"/>
        </w:rPr>
        <w:fldChar w:fldCharType="begin">
          <w:ffData>
            <w:name w:val="StdNo1"/>
            <w:enabled/>
            <w:calcOnExit w:val="0"/>
            <w:textInput>
              <w:default w:val="××××"/>
            </w:textInput>
          </w:ffData>
        </w:fldChar>
      </w:r>
      <w:bookmarkStart w:id="6" w:name="StdNo1"/>
      <w:r>
        <w:rPr>
          <w:rFonts w:ascii="Times New Roman"/>
        </w:rPr>
        <w:instrText xml:space="preserve"> FORMTEXT </w:instrText>
      </w:r>
      <w:r>
        <w:rPr>
          <w:rFonts w:ascii="Times New Roman"/>
        </w:rPr>
        <w:fldChar w:fldCharType="separate"/>
      </w:r>
      <w:r>
        <w:rPr>
          <w:rFonts w:ascii="Times New Roman"/>
        </w:rPr>
        <w:t>××××</w:t>
      </w:r>
      <w:r>
        <w:rPr>
          <w:rFonts w:ascii="Times New Roman"/>
        </w:rPr>
        <w:fldChar w:fldCharType="end"/>
      </w:r>
      <w:bookmarkEnd w:id="6"/>
      <w:r>
        <w:rPr>
          <w:rFonts w:ascii="Times New Roman"/>
        </w:rPr>
        <w:t>—</w:t>
      </w:r>
      <w:r>
        <w:rPr>
          <w:rFonts w:ascii="Times New Roman"/>
        </w:rPr>
        <w:fldChar w:fldCharType="begin">
          <w:ffData>
            <w:name w:val="StdNo2"/>
            <w:enabled/>
            <w:calcOnExit w:val="0"/>
            <w:textInput>
              <w:default w:val="××××"/>
              <w:maxLength w:val="4"/>
            </w:textInput>
          </w:ffData>
        </w:fldChar>
      </w:r>
      <w:bookmarkStart w:id="7" w:name="StdNo2"/>
      <w:r>
        <w:rPr>
          <w:rFonts w:ascii="Times New Roman"/>
        </w:rPr>
        <w:instrText xml:space="preserve"> FORMTEXT </w:instrText>
      </w:r>
      <w:r>
        <w:rPr>
          <w:rFonts w:ascii="Times New Roman"/>
        </w:rPr>
        <w:fldChar w:fldCharType="separate"/>
      </w:r>
      <w:r>
        <w:rPr>
          <w:rFonts w:ascii="Times New Roman"/>
        </w:rPr>
        <w:t>××××</w:t>
      </w:r>
      <w:r>
        <w:rPr>
          <w:rFonts w:ascii="Times New Roman"/>
        </w:rPr>
        <w:fldChar w:fldCharType="end"/>
      </w:r>
      <w:bookmarkEnd w:id="7"/>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6"/>
      </w:tblGrid>
      <w:tr w14:paraId="02CE4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356" w:type="dxa"/>
            <w:tcBorders>
              <w:top w:val="nil"/>
              <w:left w:val="nil"/>
              <w:bottom w:val="nil"/>
              <w:right w:val="nil"/>
            </w:tcBorders>
            <w:shd w:val="clear" w:color="auto" w:fill="auto"/>
          </w:tcPr>
          <w:p w14:paraId="0BB85562">
            <w:pPr>
              <w:pStyle w:val="72"/>
              <w:framePr w:wrap="around"/>
              <w:rPr>
                <w:rFonts w:ascii="Times New Roman"/>
              </w:rPr>
            </w:pPr>
            <w:r>
              <w:rPr>
                <w:rFonts w:ascii="Times New Roman"/>
              </w:rPr>
              <mc:AlternateContent>
                <mc:Choice Requires="wps">
                  <w:drawing>
                    <wp:anchor distT="0" distB="0" distL="114300" distR="114300" simplePos="0" relativeHeight="251661312" behindDoc="1" locked="0" layoutInCell="1" allowOverlap="1">
                      <wp:simplePos x="0" y="0"/>
                      <wp:positionH relativeFrom="column">
                        <wp:posOffset>4734560</wp:posOffset>
                      </wp:positionH>
                      <wp:positionV relativeFrom="paragraph">
                        <wp:posOffset>34290</wp:posOffset>
                      </wp:positionV>
                      <wp:extent cx="1143000" cy="228600"/>
                      <wp:effectExtent l="0" t="0" r="3175" b="0"/>
                      <wp:wrapNone/>
                      <wp:docPr id="435445404" name="DT"/>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DT" o:spid="_x0000_s1026" o:spt="1" style="position:absolute;left:0pt;margin-left:372.8pt;margin-top:2.7pt;height:18pt;width:90pt;z-index:-251655168;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5g8svWAAAACAEAAA8AAAAAAAAAAQAg&#10;AAAAIgAAAGRycy9kb3ducmV2LnhtbFBLAQIUABQAAAAIAIdO4kCWx3mmEAIAACgEAAAOAAAAAAAA&#10;AAEAIAAAACUBAABkcnMvZTJvRG9jLnhtbFBLBQYAAAAABgAGAFkBAACnBQAAAAA=&#10;">
                      <v:fill on="t" focussize="0,0"/>
                      <v:stroke on="f"/>
                      <v:imagedata o:title=""/>
                      <o:lock v:ext="edit" aspectratio="f"/>
                    </v:rect>
                  </w:pict>
                </mc:Fallback>
              </mc:AlternateContent>
            </w:r>
            <w:r>
              <w:rPr>
                <w:rFonts w:ascii="Times New Roman"/>
              </w:rPr>
              <w:fldChar w:fldCharType="begin">
                <w:ffData>
                  <w:name w:val="DT"/>
                  <w:enabled/>
                  <w:calcOnExit w:val="0"/>
                  <w:entryMacro w:val="ShowHelp4"/>
                  <w:textInput/>
                </w:ffData>
              </w:fldChar>
            </w:r>
            <w:bookmarkStart w:id="8" w:name="DT"/>
            <w:r>
              <w:rPr>
                <w:rFonts w:ascii="Times New Roman"/>
              </w:rPr>
              <w:instrText xml:space="preserve"> FORMTEXT </w:instrText>
            </w:r>
            <w:r>
              <w:rPr>
                <w:rFonts w:ascii="Times New Roman"/>
              </w:rPr>
              <w:fldChar w:fldCharType="separate"/>
            </w:r>
            <w:r>
              <w:rPr>
                <w:rFonts w:ascii="Times New Roman"/>
              </w:rPr>
              <w:t>     </w:t>
            </w:r>
            <w:r>
              <w:rPr>
                <w:rFonts w:ascii="Times New Roman"/>
              </w:rPr>
              <w:fldChar w:fldCharType="end"/>
            </w:r>
            <w:bookmarkEnd w:id="8"/>
          </w:p>
        </w:tc>
      </w:tr>
    </w:tbl>
    <w:p w14:paraId="5C398F34">
      <w:pPr>
        <w:pStyle w:val="43"/>
        <w:framePr w:wrap="around"/>
        <w:rPr>
          <w:rFonts w:ascii="Times New Roman"/>
        </w:rPr>
      </w:pPr>
    </w:p>
    <w:p w14:paraId="49DA3C7E">
      <w:pPr>
        <w:pStyle w:val="43"/>
        <w:framePr w:wrap="around"/>
        <w:rPr>
          <w:rFonts w:ascii="Times New Roman"/>
        </w:rPr>
      </w:pPr>
    </w:p>
    <w:p w14:paraId="3A54D992">
      <w:pPr>
        <w:pStyle w:val="74"/>
        <w:framePr w:wrap="around"/>
        <w:rPr>
          <w:rFonts w:ascii="Times New Roman"/>
        </w:rPr>
      </w:pPr>
      <w:r>
        <w:rPr>
          <w:rFonts w:ascii="Times New Roman"/>
        </w:rPr>
        <w:fldChar w:fldCharType="begin">
          <w:ffData>
            <w:name w:val="StdName"/>
            <w:enabled/>
            <w:calcOnExit w:val="0"/>
            <w:textInput>
              <w:default w:val="点击此处添加标准名称"/>
            </w:textInput>
          </w:ffData>
        </w:fldChar>
      </w:r>
      <w:bookmarkStart w:id="9" w:name="StdName"/>
      <w:r>
        <w:rPr>
          <w:rFonts w:ascii="Times New Roman"/>
        </w:rPr>
        <w:instrText xml:space="preserve"> FORMTEXT </w:instrText>
      </w:r>
      <w:r>
        <w:rPr>
          <w:rFonts w:ascii="Times New Roman"/>
        </w:rPr>
        <w:fldChar w:fldCharType="separate"/>
      </w:r>
      <w:r>
        <w:rPr>
          <w:rFonts w:hint="eastAsia" w:ascii="Times New Roman"/>
        </w:rPr>
        <w:t>地理标志农产品</w:t>
      </w:r>
      <w:r>
        <w:rPr>
          <w:rFonts w:ascii="Times New Roman"/>
        </w:rPr>
        <w:t xml:space="preserve"> </w:t>
      </w:r>
      <w:r>
        <w:rPr>
          <w:rFonts w:hint="eastAsia" w:ascii="Times New Roman"/>
        </w:rPr>
        <w:t>霄坑绿茶</w:t>
      </w:r>
      <w:r>
        <w:rPr>
          <w:rFonts w:ascii="Times New Roman"/>
        </w:rPr>
        <w:t xml:space="preserve">      </w:t>
      </w:r>
      <w:r>
        <w:rPr>
          <w:rFonts w:ascii="Times New Roman"/>
        </w:rPr>
        <w:fldChar w:fldCharType="end"/>
      </w:r>
      <w:bookmarkEnd w:id="9"/>
    </w:p>
    <w:p w14:paraId="442F6CD7">
      <w:pPr>
        <w:pStyle w:val="75"/>
        <w:framePr w:wrap="around"/>
      </w:pPr>
      <w:r>
        <w:fldChar w:fldCharType="begin">
          <w:ffData>
            <w:name w:val="StdEnglishName"/>
            <w:enabled/>
            <w:calcOnExit w:val="0"/>
            <w:textInput>
              <w:default w:val="点击此处添加标准英文译名"/>
            </w:textInput>
          </w:ffData>
        </w:fldChar>
      </w:r>
      <w:bookmarkStart w:id="10" w:name="StdEnglishName"/>
      <w:r>
        <w:instrText xml:space="preserve"> FORMTEXT </w:instrText>
      </w:r>
      <w:r>
        <w:fldChar w:fldCharType="separate"/>
      </w:r>
      <w:r>
        <w:t>Agricultural product of geographical indication—Xiaokeng Green tea     </w:t>
      </w:r>
      <w:r>
        <w:fldChar w:fldCharType="end"/>
      </w:r>
      <w:bookmarkEnd w:id="10"/>
    </w:p>
    <w:p w14:paraId="1BD8ADC5">
      <w:pPr>
        <w:pStyle w:val="76"/>
        <w:framePr w:wrap="around"/>
        <w:rPr>
          <w:rFonts w:ascii="Times New Roman"/>
        </w:rPr>
      </w:pPr>
      <w:r>
        <w:rPr>
          <w:rFonts w:ascii="Times New Roman"/>
        </w:rPr>
        <w:fldChar w:fldCharType="begin">
          <w:ffData>
            <w:name w:val="YZBS"/>
            <w:enabled/>
            <w:calcOnExit w:val="0"/>
            <w:textInput>
              <w:default w:val="点击此处添加与国际标准一致性程度的标识"/>
            </w:textInput>
          </w:ffData>
        </w:fldChar>
      </w:r>
      <w:bookmarkStart w:id="11" w:name="YZBS"/>
      <w:r>
        <w:rPr>
          <w:rFonts w:ascii="Times New Roman"/>
        </w:rPr>
        <w:instrText xml:space="preserve"> FORMTEXT </w:instrText>
      </w:r>
      <w:r>
        <w:rPr>
          <w:rFonts w:ascii="Times New Roman"/>
        </w:rPr>
        <w:fldChar w:fldCharType="separate"/>
      </w:r>
      <w:r>
        <w:rPr>
          <w:rFonts w:ascii="Times New Roman"/>
        </w:rPr>
        <w:t>     </w:t>
      </w:r>
      <w:r>
        <w:rPr>
          <w:rFonts w:ascii="Times New Roman"/>
        </w:rPr>
        <w:fldChar w:fldCharType="end"/>
      </w:r>
      <w:bookmarkEnd w:id="11"/>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5"/>
      </w:tblGrid>
      <w:tr w14:paraId="45924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14:paraId="2D971180">
            <w:pPr>
              <w:pStyle w:val="77"/>
              <w:framePr w:wrap="around"/>
              <w:rPr>
                <w:rFonts w:ascii="Times New Roman"/>
              </w:rPr>
            </w:pPr>
            <w:r>
              <w:rPr>
                <w:rFonts w:ascii="Times New Roman"/>
              </w:rPr>
              <mc:AlternateContent>
                <mc:Choice Requires="wps">
                  <w:drawing>
                    <wp:anchor distT="0" distB="0" distL="114300" distR="114300" simplePos="0" relativeHeight="251663360" behindDoc="1" locked="1" layoutInCell="1" allowOverlap="1">
                      <wp:simplePos x="0" y="0"/>
                      <wp:positionH relativeFrom="column">
                        <wp:posOffset>2200910</wp:posOffset>
                      </wp:positionH>
                      <wp:positionV relativeFrom="paragraph">
                        <wp:posOffset>573405</wp:posOffset>
                      </wp:positionV>
                      <wp:extent cx="1905000" cy="254000"/>
                      <wp:effectExtent l="0" t="0" r="3175" b="3175"/>
                      <wp:wrapNone/>
                      <wp:docPr id="1451463864" name="RQ"/>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Q" o:spid="_x0000_s1026" o:spt="1" style="position:absolute;left:0pt;margin-left:173.3pt;margin-top:45.15pt;height:20pt;width:150pt;z-index:-251653120;mso-width-relative:page;mso-height-relative:page;" fillcolor="#FFFFFF" filled="t" stroked="f" coordsize="21600,21600" o:gfxdata="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WJrpLVAAAACgEAAA8AAAAAAAAAAQAg&#10;AAAAIgAAAGRycy9kb3ducmV2LnhtbFBLAQIUABQAAAAIAIdO4kDZv4hJEQIAACkEAAAOAAAAAAAA&#10;AAEAIAAAACQBAABkcnMvZTJvRG9jLnhtbFBLBQYAAAAABgAGAFkBAACnBQAAAAA=&#10;">
                      <v:fill on="t" focussize="0,0"/>
                      <v:stroke on="f"/>
                      <v:imagedata o:title=""/>
                      <o:lock v:ext="edit" aspectratio="f"/>
                      <w10:anchorlock/>
                    </v:rect>
                  </w:pict>
                </mc:Fallback>
              </mc:AlternateContent>
            </w:r>
            <w:r>
              <w:rPr>
                <w:rFonts w:ascii="Times New Roman"/>
              </w:rPr>
              <mc:AlternateContent>
                <mc:Choice Requires="wps">
                  <w:drawing>
                    <wp:anchor distT="0" distB="0" distL="114300" distR="114300" simplePos="0" relativeHeight="251662336" behindDoc="1" locked="0" layoutInCell="1" allowOverlap="1">
                      <wp:simplePos x="0" y="0"/>
                      <wp:positionH relativeFrom="column">
                        <wp:posOffset>2454910</wp:posOffset>
                      </wp:positionH>
                      <wp:positionV relativeFrom="paragraph">
                        <wp:posOffset>255905</wp:posOffset>
                      </wp:positionV>
                      <wp:extent cx="1270000" cy="304800"/>
                      <wp:effectExtent l="3175" t="0" r="3175" b="3175"/>
                      <wp:wrapNone/>
                      <wp:docPr id="2093478043" name="LB"/>
                      <wp:cNvGraphicFramePr/>
                      <a:graphic xmlns:a="http://schemas.openxmlformats.org/drawingml/2006/main">
                        <a:graphicData uri="http://schemas.microsoft.com/office/word/2010/wordprocessingShape">
                          <wps:wsp>
                            <wps:cNvSpPr>
                              <a:spLocks noChangeArrowheads="1"/>
                            </wps:cNvSpPr>
                            <wps:spPr bwMode="auto">
                              <a:xfrm>
                                <a:off x="0" y="0"/>
                                <a:ext cx="1270000" cy="3048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LB" o:spid="_x0000_s1026" o:spt="1" style="position:absolute;left:0pt;margin-left:193.3pt;margin-top:20.15pt;height:24pt;width:100pt;z-index:-251654144;mso-width-relative:page;mso-height-relative:page;" fillcolor="#FFFFFF" filled="t" stroked="f" coordsize="21600,21600" o:gfxdata="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D4Yvl1gAAAAkBAAAPAAAAAAAAAAEA&#10;IAAAACIAAABkcnMvZG93bnJldi54bWxQSwECFAAUAAAACACHTuJAoL/r8hECAAApBAAADgAAAAAA&#10;AAABACAAAAAlAQAAZHJzL2Uyb0RvYy54bWxQSwUGAAAAAAYABgBZAQAAqAUAAAAA&#10;">
                      <v:fill on="t" focussize="0,0"/>
                      <v:stroke on="f"/>
                      <v:imagedata o:title=""/>
                      <o:lock v:ext="edit" aspectratio="f"/>
                    </v:rect>
                  </w:pict>
                </mc:Fallback>
              </mc:AlternateContent>
            </w:r>
            <w:r>
              <w:rPr>
                <w:rFonts w:ascii="Times New Roman"/>
              </w:rPr>
              <w:fldChar w:fldCharType="begin">
                <w:ffData>
                  <w:name w:val="LB"/>
                  <w:enabled/>
                  <w:calcOnExit w:val="0"/>
                  <w:ddList>
                    <w:listEntry w:val="文稿版次选择"/>
                    <w:listEntry w:val="（工作组讨论稿）"/>
                    <w:listEntry w:val="（征求意见稿）"/>
                    <w:listEntry w:val="（送审讨论稿）"/>
                    <w:listEntry w:val="（送审稿）"/>
                    <w:listEntry w:val="（报批稿）"/>
                  </w:ddList>
                </w:ffData>
              </w:fldChar>
            </w:r>
            <w:bookmarkStart w:id="12" w:name="LB"/>
            <w:r>
              <w:rPr>
                <w:rFonts w:ascii="Times New Roman"/>
              </w:rPr>
              <w:instrText xml:space="preserve"> </w:instrText>
            </w:r>
            <w:r>
              <w:rPr>
                <w:rFonts w:hint="eastAsia" w:ascii="Times New Roman"/>
              </w:rPr>
              <w:instrText xml:space="preserve">FORMDROPDOWN</w:instrText>
            </w:r>
            <w:r>
              <w:rPr>
                <w:rFonts w:ascii="Times New Roman"/>
              </w:rPr>
              <w:instrText xml:space="preserve"> </w:instrText>
            </w:r>
            <w:r>
              <w:rPr>
                <w:rFonts w:ascii="Times New Roman"/>
              </w:rPr>
              <w:fldChar w:fldCharType="separate"/>
            </w:r>
            <w:r>
              <w:rPr>
                <w:rFonts w:ascii="Times New Roman"/>
              </w:rPr>
              <w:fldChar w:fldCharType="end"/>
            </w:r>
            <w:bookmarkEnd w:id="12"/>
          </w:p>
        </w:tc>
      </w:tr>
      <w:tr w14:paraId="38FF6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shd w:val="clear" w:color="auto" w:fill="auto"/>
          </w:tcPr>
          <w:p w14:paraId="708B6FF1">
            <w:pPr>
              <w:pStyle w:val="78"/>
              <w:framePr w:wrap="around"/>
              <w:rPr>
                <w:rFonts w:ascii="Times New Roman"/>
              </w:rPr>
            </w:pPr>
            <w:r>
              <w:rPr>
                <w:rFonts w:ascii="Times New Roman"/>
              </w:rPr>
              <w:fldChar w:fldCharType="begin">
                <w:ffData>
                  <w:name w:val="WCRQ"/>
                  <w:enabled/>
                  <w:calcOnExit w:val="0"/>
                  <w:textInput/>
                </w:ffData>
              </w:fldChar>
            </w:r>
            <w:bookmarkStart w:id="13" w:name="WCRQ"/>
            <w:r>
              <w:rPr>
                <w:rFonts w:ascii="Times New Roman"/>
              </w:rPr>
              <w:instrText xml:space="preserve"> FORMTEXT </w:instrText>
            </w:r>
            <w:r>
              <w:rPr>
                <w:rFonts w:ascii="Times New Roman"/>
              </w:rPr>
              <w:fldChar w:fldCharType="separate"/>
            </w:r>
            <w:r>
              <w:rPr>
                <w:rFonts w:ascii="Times New Roman"/>
              </w:rPr>
              <w:t>     </w:t>
            </w:r>
            <w:r>
              <w:rPr>
                <w:rFonts w:ascii="Times New Roman"/>
              </w:rPr>
              <w:fldChar w:fldCharType="end"/>
            </w:r>
            <w:bookmarkEnd w:id="13"/>
          </w:p>
        </w:tc>
      </w:tr>
    </w:tbl>
    <w:p w14:paraId="1204CA2F">
      <w:pPr>
        <w:pStyle w:val="126"/>
        <w:framePr w:wrap="around"/>
      </w:pPr>
      <w:r>
        <w:fldChar w:fldCharType="begin">
          <w:ffData>
            <w:name w:val="FY"/>
            <w:enabled/>
            <w:calcOnExit w:val="0"/>
            <w:entryMacro w:val="ShowHelp8"/>
            <w:textInput>
              <w:default w:val="××××"/>
              <w:maxLength w:val="4"/>
            </w:textInput>
          </w:ffData>
        </w:fldChar>
      </w:r>
      <w:bookmarkStart w:id="14" w:name="FY"/>
      <w:r>
        <w:instrText xml:space="preserve"> FORMTEXT </w:instrText>
      </w:r>
      <w:r>
        <w:fldChar w:fldCharType="separate"/>
      </w:r>
      <w:r>
        <w:t>××××</w:t>
      </w:r>
      <w:r>
        <w:fldChar w:fldCharType="end"/>
      </w:r>
      <w:bookmarkEnd w:id="14"/>
      <w:r>
        <w:t xml:space="preserve"> - </w:t>
      </w:r>
      <w:r>
        <w:fldChar w:fldCharType="begin">
          <w:ffData>
            <w:name w:val="FM"/>
            <w:enabled/>
            <w:calcOnExit w:val="0"/>
            <w:entryMacro w:val="ShowHelp8"/>
            <w:textInput>
              <w:default w:val="××"/>
              <w:maxLength w:val="2"/>
            </w:textInput>
          </w:ffData>
        </w:fldChar>
      </w:r>
      <w:r>
        <w:instrText xml:space="preserve"> FORMTEXT </w:instrText>
      </w:r>
      <w:r>
        <w:fldChar w:fldCharType="separate"/>
      </w:r>
      <w:r>
        <w:t>××</w:t>
      </w:r>
      <w:r>
        <w:fldChar w:fldCharType="end"/>
      </w:r>
      <w:r>
        <w:t xml:space="preserve"> - </w:t>
      </w:r>
      <w:r>
        <w:fldChar w:fldCharType="begin">
          <w:ffData>
            <w:name w:val="FD"/>
            <w:enabled/>
            <w:calcOnExit w:val="0"/>
            <w:entryMacro w:val="ShowHelp8"/>
            <w:textInput>
              <w:default w:val="××"/>
              <w:maxLength w:val="2"/>
            </w:textInput>
          </w:ffData>
        </w:fldChar>
      </w:r>
      <w:bookmarkStart w:id="15" w:name="FD"/>
      <w:r>
        <w:instrText xml:space="preserve"> FORMTEXT </w:instrText>
      </w:r>
      <w:r>
        <w:fldChar w:fldCharType="separate"/>
      </w:r>
      <w:r>
        <w:t>××</w:t>
      </w:r>
      <w:r>
        <w:fldChar w:fldCharType="end"/>
      </w:r>
      <w:bookmarkEnd w:id="15"/>
      <w:r>
        <w:rPr>
          <w:rFonts w:hint="eastAsia"/>
        </w:rPr>
        <w:t>发布</w:t>
      </w:r>
      <w:r>
        <mc:AlternateContent>
          <mc:Choice Requires="wps">
            <w:drawing>
              <wp:anchor distT="0" distB="0" distL="114300" distR="114300" simplePos="0" relativeHeight="251659264" behindDoc="0" locked="1" layoutInCell="1" allowOverlap="1">
                <wp:simplePos x="0" y="0"/>
                <wp:positionH relativeFrom="column">
                  <wp:posOffset>-635</wp:posOffset>
                </wp:positionH>
                <wp:positionV relativeFrom="page">
                  <wp:posOffset>9251950</wp:posOffset>
                </wp:positionV>
                <wp:extent cx="6120130" cy="0"/>
                <wp:effectExtent l="13970" t="12700" r="9525" b="6350"/>
                <wp:wrapNone/>
                <wp:docPr id="993423763" name="Line 2"/>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0.05pt;margin-top:728.5pt;height:0pt;width:481.9pt;mso-position-vertical-relative:page;z-index:251659264;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JYdrPNYAAAALAQAADwAAAAAAAAABACAAAAAiAAAA&#10;ZHJzL2Rvd25yZXYueG1sUEsBAhQAFAAAAAgAh07iQOUTG3DQAQAApwMAAA4AAAAAAAAAAQAgAAAA&#10;JQEAAGRycy9lMm9Eb2MueG1sUEsFBgAAAAAGAAYAWQEAAGcFAAAAAA==&#10;">
                <v:fill on="f" focussize="0,0"/>
                <v:stroke color="#000000" joinstyle="round"/>
                <v:imagedata o:title=""/>
                <o:lock v:ext="edit" aspectratio="f"/>
                <w10:anchorlock/>
              </v:line>
            </w:pict>
          </mc:Fallback>
        </mc:AlternateContent>
      </w:r>
    </w:p>
    <w:p w14:paraId="33BCDE36">
      <w:pPr>
        <w:pStyle w:val="127"/>
        <w:framePr w:wrap="around"/>
      </w:pPr>
      <w:r>
        <w:fldChar w:fldCharType="begin">
          <w:ffData>
            <w:name w:val="SY"/>
            <w:enabled/>
            <w:calcOnExit w:val="0"/>
            <w:entryMacro w:val="ShowHelp9"/>
            <w:textInput>
              <w:default w:val="××××"/>
              <w:maxLength w:val="4"/>
            </w:textInput>
          </w:ffData>
        </w:fldChar>
      </w:r>
      <w:bookmarkStart w:id="16" w:name="SY"/>
      <w:r>
        <w:instrText xml:space="preserve"> FORMTEXT </w:instrText>
      </w:r>
      <w:r>
        <w:fldChar w:fldCharType="separate"/>
      </w:r>
      <w:r>
        <w:t>××××</w:t>
      </w:r>
      <w:r>
        <w:fldChar w:fldCharType="end"/>
      </w:r>
      <w:bookmarkEnd w:id="16"/>
      <w:r>
        <w:t xml:space="preserve"> - </w:t>
      </w:r>
      <w:r>
        <w:fldChar w:fldCharType="begin">
          <w:ffData>
            <w:name w:val="SM"/>
            <w:enabled/>
            <w:calcOnExit w:val="0"/>
            <w:entryMacro w:val="ShowHelp9"/>
            <w:textInput>
              <w:default w:val="××"/>
              <w:maxLength w:val="2"/>
            </w:textInput>
          </w:ffData>
        </w:fldChar>
      </w:r>
      <w:bookmarkStart w:id="17" w:name="SM"/>
      <w:r>
        <w:instrText xml:space="preserve"> FORMTEXT </w:instrText>
      </w:r>
      <w:r>
        <w:fldChar w:fldCharType="separate"/>
      </w:r>
      <w:r>
        <w:t>××</w:t>
      </w:r>
      <w:r>
        <w:fldChar w:fldCharType="end"/>
      </w:r>
      <w:bookmarkEnd w:id="17"/>
      <w:r>
        <w:t xml:space="preserve"> - </w:t>
      </w:r>
      <w:r>
        <w:fldChar w:fldCharType="begin">
          <w:ffData>
            <w:name w:val="SD"/>
            <w:enabled/>
            <w:calcOnExit w:val="0"/>
            <w:entryMacro w:val="ShowHelp9"/>
            <w:textInput>
              <w:default w:val="××"/>
              <w:maxLength w:val="2"/>
            </w:textInput>
          </w:ffData>
        </w:fldChar>
      </w:r>
      <w:bookmarkStart w:id="18" w:name="SD"/>
      <w:r>
        <w:instrText xml:space="preserve"> FORMTEXT </w:instrText>
      </w:r>
      <w:r>
        <w:fldChar w:fldCharType="separate"/>
      </w:r>
      <w:r>
        <w:t>××</w:t>
      </w:r>
      <w:r>
        <w:fldChar w:fldCharType="end"/>
      </w:r>
      <w:bookmarkEnd w:id="18"/>
      <w:r>
        <w:rPr>
          <w:rFonts w:hint="eastAsia"/>
        </w:rPr>
        <w:t>实施</w:t>
      </w:r>
    </w:p>
    <w:p w14:paraId="54488AF0">
      <w:pPr>
        <w:pStyle w:val="107"/>
        <w:framePr w:wrap="around"/>
        <w:rPr>
          <w:rFonts w:ascii="Times New Roman"/>
        </w:rPr>
      </w:pPr>
      <w:r>
        <w:rPr>
          <w:rFonts w:ascii="Times New Roman"/>
        </w:rPr>
        <w:fldChar w:fldCharType="begin">
          <w:ffData>
            <w:name w:val="fm"/>
            <w:enabled/>
            <w:calcOnExit w:val="0"/>
            <w:textInput/>
          </w:ffData>
        </w:fldChar>
      </w:r>
      <w:bookmarkStart w:id="19" w:name="fm"/>
      <w:r>
        <w:rPr>
          <w:rFonts w:ascii="Times New Roman"/>
        </w:rPr>
        <w:instrText xml:space="preserve"> FORMTEXT </w:instrText>
      </w:r>
      <w:r>
        <w:rPr>
          <w:rFonts w:ascii="Times New Roman"/>
        </w:rPr>
        <w:fldChar w:fldCharType="separate"/>
      </w:r>
      <w:r>
        <w:rPr>
          <w:rFonts w:hint="eastAsia" w:ascii="Times New Roman"/>
          <w:lang w:eastAsia="zh-CN"/>
        </w:rPr>
        <w:t>池州市场监督管理局</w:t>
      </w:r>
      <w:r>
        <w:rPr>
          <w:rFonts w:ascii="Times New Roman"/>
        </w:rPr>
        <w:fldChar w:fldCharType="end"/>
      </w:r>
      <w:bookmarkEnd w:id="19"/>
      <w:r>
        <w:rPr>
          <w:rFonts w:ascii="Times New Roman"/>
        </w:rPr>
        <w:t xml:space="preserve"> </w:t>
      </w:r>
      <w:r>
        <w:rPr>
          <w:rStyle w:val="69"/>
          <w:rFonts w:ascii="Times New Roman"/>
        </w:rPr>
        <w:t xml:space="preserve"> </w:t>
      </w:r>
      <w:r>
        <w:rPr>
          <w:rStyle w:val="69"/>
          <w:rFonts w:hint="eastAsia" w:ascii="Times New Roman"/>
        </w:rPr>
        <w:t>发布</w:t>
      </w:r>
    </w:p>
    <w:p w14:paraId="4B3572AE">
      <w:pPr>
        <w:pStyle w:val="21"/>
        <w:rPr>
          <w:rFonts w:ascii="Times New Roman"/>
        </w:rPr>
        <w:sectPr>
          <w:pgSz w:w="11906" w:h="16838"/>
          <w:pgMar w:top="567" w:right="850" w:bottom="1134" w:left="1418" w:header="0" w:footer="0" w:gutter="0"/>
          <w:pgNumType w:start="1"/>
          <w:cols w:space="425" w:num="1"/>
          <w:docGrid w:type="lines" w:linePitch="312" w:charSpace="0"/>
        </w:sectPr>
      </w:pPr>
      <w:r>
        <w:rPr>
          <w:rFonts w:ascii="Times New Roman"/>
        </w:rPr>
        <mc:AlternateContent>
          <mc:Choice Requires="wps">
            <w:drawing>
              <wp:anchor distT="0" distB="0" distL="114300" distR="114300" simplePos="0" relativeHeight="251664384" behindDoc="1" locked="0" layoutInCell="1" allowOverlap="1">
                <wp:simplePos x="0" y="0"/>
                <wp:positionH relativeFrom="column">
                  <wp:posOffset>-66675</wp:posOffset>
                </wp:positionH>
                <wp:positionV relativeFrom="paragraph">
                  <wp:posOffset>396240</wp:posOffset>
                </wp:positionV>
                <wp:extent cx="866775" cy="198120"/>
                <wp:effectExtent l="0" t="3810" r="4445" b="0"/>
                <wp:wrapNone/>
                <wp:docPr id="1582004673" name="BAH"/>
                <wp:cNvGraphicFramePr/>
                <a:graphic xmlns:a="http://schemas.openxmlformats.org/drawingml/2006/main">
                  <a:graphicData uri="http://schemas.microsoft.com/office/word/2010/wordprocessingShape">
                    <wps:wsp>
                      <wps:cNvSpPr>
                        <a:spLocks noChangeArrowheads="1"/>
                      </wps:cNvSpPr>
                      <wps:spPr bwMode="auto">
                        <a:xfrm>
                          <a:off x="0" y="0"/>
                          <a:ext cx="866775" cy="19812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BAH" o:spid="_x0000_s1026" o:spt="1" style="position:absolute;left:0pt;margin-left:-5.25pt;margin-top:31.2pt;height:15.6pt;width:68.25pt;z-index:-251652096;mso-width-relative:page;mso-height-relative:page;" fillcolor="#FFFFFF" filled="t" stroked="f" coordsize="21600,21600" o:gfxdata="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QZAFPXAAAACQEAAA8AAAAA&#10;AAAAAQAgAAAAIgAAAGRycy9kb3ducmV2LnhtbFBLAQIUABQAAAAIAIdO4kAm6li8FQIAACkEAAAO&#10;AAAAAAAAAAEAIAAAACYBAABkcnMvZTJvRG9jLnhtbFBLBQYAAAAABgAGAFkBAACtBQAAAAA=&#10;">
                <v:fill on="t" focussize="0,0"/>
                <v:stroke on="f"/>
                <v:imagedata o:title=""/>
                <o:lock v:ext="edit" aspectratio="f"/>
              </v:rect>
            </w:pict>
          </mc:Fallback>
        </mc:AlternateContent>
      </w:r>
      <w:r>
        <w:rPr>
          <w:rFonts w:ascii="Times New Roman"/>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2339975</wp:posOffset>
                </wp:positionV>
                <wp:extent cx="6120130" cy="0"/>
                <wp:effectExtent l="13970" t="13970" r="9525" b="5080"/>
                <wp:wrapNone/>
                <wp:docPr id="1618697019" name="Line 3"/>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3" o:spid="_x0000_s1026" o:spt="20" style="position:absolute;left:0pt;margin-left:-0.05pt;margin-top:184.25pt;height:0pt;width:481.9pt;z-index:251660288;mso-width-relative:page;mso-height-relative:page;" filled="f" stroked="t" coordsize="21600,21600" o:gfxdata="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CQeJf1wAAAAkBAAAPAAAAAAAAAAEAIAAAACIA&#10;AABkcnMvZG93bnJldi54bWxQSwECFAAUAAAACACHTuJAtJK6mdEBAACoAwAADgAAAAAAAAABACAA&#10;AAAmAQAAZHJzL2Uyb0RvYy54bWxQSwUGAAAAAAYABgBZAQAAaQUAAAAA&#10;">
                <v:fill on="f" focussize="0,0"/>
                <v:stroke color="#000000" joinstyle="round"/>
                <v:imagedata o:title=""/>
                <o:lock v:ext="edit" aspectratio="f"/>
              </v:line>
            </w:pict>
          </mc:Fallback>
        </mc:AlternateContent>
      </w:r>
    </w:p>
    <w:p w14:paraId="4EE9056E">
      <w:pPr>
        <w:pStyle w:val="21"/>
        <w:rPr>
          <w:rFonts w:hint="eastAsia" w:ascii="Times New Roman"/>
        </w:rPr>
      </w:pPr>
    </w:p>
    <w:p w14:paraId="1E036EBE">
      <w:pPr>
        <w:pStyle w:val="21"/>
        <w:rPr>
          <w:rFonts w:hint="eastAsia" w:ascii="Times New Roman"/>
        </w:rPr>
      </w:pPr>
    </w:p>
    <w:p w14:paraId="2C6AA78C">
      <w:pPr>
        <w:pStyle w:val="21"/>
        <w:rPr>
          <w:rFonts w:hint="eastAsia" w:ascii="Times New Roman"/>
        </w:rPr>
      </w:pPr>
    </w:p>
    <w:p w14:paraId="17E30129">
      <w:pPr>
        <w:pStyle w:val="21"/>
        <w:rPr>
          <w:rFonts w:hint="eastAsia" w:ascii="Times New Roman"/>
        </w:rPr>
      </w:pPr>
    </w:p>
    <w:p w14:paraId="42723C54">
      <w:pPr>
        <w:pStyle w:val="21"/>
        <w:rPr>
          <w:rFonts w:ascii="Times New Roman"/>
        </w:rPr>
      </w:pPr>
      <w:r>
        <w:rPr>
          <w:rFonts w:hint="eastAsia" w:ascii="Times New Roman"/>
        </w:rPr>
        <w:t xml:space="preserve">本文件按照GB/T 1.1-2020《标准化工作导则 第1部分：标准化文件的结构和起草规则》的规则起草。 </w:t>
      </w:r>
    </w:p>
    <w:p w14:paraId="41E912B8">
      <w:pPr>
        <w:pStyle w:val="21"/>
        <w:rPr>
          <w:rFonts w:ascii="Times New Roman"/>
          <w:color w:val="auto"/>
        </w:rPr>
      </w:pPr>
      <w:r>
        <w:rPr>
          <w:rFonts w:hint="eastAsia" w:ascii="Times New Roman"/>
        </w:rPr>
        <w:t>本文件</w:t>
      </w:r>
      <w:r>
        <w:rPr>
          <w:rFonts w:hint="eastAsia" w:ascii="Times New Roman"/>
          <w:color w:val="auto"/>
        </w:rPr>
        <w:t>由</w:t>
      </w:r>
      <w:r>
        <w:rPr>
          <w:rFonts w:hint="eastAsia" w:ascii="Times New Roman"/>
          <w:color w:val="auto"/>
          <w:lang w:val="en-US" w:eastAsia="zh-CN"/>
        </w:rPr>
        <w:t>安徽农业大学</w:t>
      </w:r>
      <w:r>
        <w:rPr>
          <w:rFonts w:hint="eastAsia" w:ascii="Times New Roman"/>
          <w:color w:val="auto"/>
        </w:rPr>
        <w:t xml:space="preserve">提出。 </w:t>
      </w:r>
    </w:p>
    <w:p w14:paraId="4599BE46">
      <w:pPr>
        <w:pStyle w:val="21"/>
        <w:rPr>
          <w:rFonts w:ascii="Times New Roman"/>
        </w:rPr>
      </w:pPr>
      <w:r>
        <w:rPr>
          <w:rFonts w:hint="eastAsia" w:ascii="Times New Roman"/>
        </w:rPr>
        <w:t xml:space="preserve">本文件由池州市农业农村局归口。 </w:t>
      </w:r>
    </w:p>
    <w:p w14:paraId="42F1C0FB">
      <w:pPr>
        <w:pStyle w:val="21"/>
        <w:rPr>
          <w:rFonts w:hint="eastAsia" w:ascii="Times New Roman" w:hAnsi="Times New Roman" w:eastAsia="宋体" w:cs="Times New Roman"/>
          <w:color w:val="auto"/>
          <w:kern w:val="0"/>
          <w:sz w:val="21"/>
          <w:szCs w:val="24"/>
          <w:lang w:val="en-US" w:eastAsia="zh-CN"/>
        </w:rPr>
      </w:pPr>
      <w:r>
        <w:rPr>
          <w:rFonts w:hint="eastAsia" w:ascii="Times New Roman"/>
        </w:rPr>
        <w:t>本文件起草单位：</w:t>
      </w:r>
      <w:r>
        <w:rPr>
          <w:rFonts w:hint="eastAsia" w:ascii="Times New Roman"/>
          <w:color w:val="auto"/>
          <w:lang w:val="en-US" w:eastAsia="zh-CN"/>
        </w:rPr>
        <w:t>安徽农业大学、</w:t>
      </w:r>
      <w:r>
        <w:rPr>
          <w:rFonts w:hint="eastAsia" w:ascii="Times New Roman" w:hAnsi="Times New Roman" w:eastAsia="宋体" w:cs="Times New Roman"/>
          <w:color w:val="auto"/>
          <w:kern w:val="0"/>
          <w:sz w:val="21"/>
          <w:szCs w:val="24"/>
        </w:rPr>
        <w:t>池州市农业科学院</w:t>
      </w:r>
      <w:r>
        <w:rPr>
          <w:rFonts w:hint="eastAsia" w:ascii="Times New Roman" w:hAnsi="Times New Roman" w:eastAsia="宋体" w:cs="Times New Roman"/>
          <w:color w:val="auto"/>
          <w:kern w:val="0"/>
          <w:sz w:val="21"/>
          <w:szCs w:val="24"/>
          <w:lang w:eastAsia="zh-CN"/>
        </w:rPr>
        <w:t>、</w:t>
      </w:r>
      <w:r>
        <w:rPr>
          <w:rFonts w:hint="eastAsia" w:ascii="Times New Roman" w:hAnsi="Times New Roman" w:eastAsia="宋体" w:cs="Times New Roman"/>
          <w:color w:val="auto"/>
          <w:kern w:val="0"/>
          <w:sz w:val="21"/>
          <w:szCs w:val="24"/>
          <w:lang w:val="en-US" w:eastAsia="zh-CN"/>
        </w:rPr>
        <w:t>池州市贵池区农业农村局、</w:t>
      </w:r>
      <w:r>
        <w:rPr>
          <w:rFonts w:hint="eastAsia" w:ascii="Times New Roman" w:hAnsi="Times New Roman" w:eastAsia="宋体" w:cs="Times New Roman"/>
          <w:color w:val="auto"/>
          <w:kern w:val="0"/>
          <w:sz w:val="21"/>
          <w:szCs w:val="24"/>
        </w:rPr>
        <w:t>池州市贵池区农业技术推广中心、池州市贵池霄坑村生绿茶叶专业合作社、</w:t>
      </w:r>
      <w:r>
        <w:rPr>
          <w:rFonts w:hint="eastAsia" w:ascii="Times New Roman" w:hAnsi="Times New Roman" w:eastAsia="宋体" w:cs="Times New Roman"/>
          <w:color w:val="auto"/>
          <w:kern w:val="0"/>
          <w:sz w:val="21"/>
          <w:szCs w:val="24"/>
          <w:lang w:val="en-US" w:eastAsia="zh-CN"/>
        </w:rPr>
        <w:t>贵池区霄坑村茶叶协会</w:t>
      </w:r>
      <w:r>
        <w:rPr>
          <w:rFonts w:hint="eastAsia" w:ascii="Times New Roman"/>
          <w:color w:val="auto"/>
          <w:lang w:val="en-US" w:eastAsia="zh-CN"/>
        </w:rPr>
        <w:t>。</w:t>
      </w:r>
    </w:p>
    <w:p w14:paraId="1F6ED6E8">
      <w:pPr>
        <w:pStyle w:val="21"/>
        <w:rPr>
          <w:rFonts w:hint="eastAsia" w:ascii="Times New Roman"/>
          <w:lang w:val="en-US" w:eastAsia="zh-CN"/>
        </w:rPr>
      </w:pPr>
      <w:r>
        <w:rPr>
          <w:rFonts w:hint="eastAsia" w:ascii="Times New Roman"/>
        </w:rPr>
        <w:t>本标准主要起草人：</w:t>
      </w:r>
      <w:r>
        <w:rPr>
          <w:rFonts w:hint="eastAsia" w:ascii="Times New Roman"/>
          <w:lang w:val="en-US" w:eastAsia="zh-CN"/>
        </w:rPr>
        <w:t>戴前颖、吴满霞、雷元胜、甘诗雅、王建伟、吴雄、祝必武、何顺明、蒋春信、陈新友、陈颖琦。</w:t>
      </w:r>
      <w:bookmarkStart w:id="35" w:name="_GoBack"/>
      <w:bookmarkEnd w:id="35"/>
    </w:p>
    <w:p w14:paraId="208BC29A">
      <w:pPr>
        <w:pStyle w:val="21"/>
        <w:rPr>
          <w:rFonts w:ascii="Times New Roman"/>
          <w:color w:val="FF0000"/>
        </w:rPr>
      </w:pPr>
    </w:p>
    <w:p w14:paraId="7FB4282D">
      <w:pPr>
        <w:pStyle w:val="108"/>
        <w:rPr>
          <w:rFonts w:ascii="Times New Roman"/>
        </w:rPr>
      </w:pPr>
      <w:bookmarkStart w:id="20" w:name="_Toc152964045"/>
      <w:r>
        <w:rPr>
          <w:rFonts w:hint="eastAsia" w:ascii="Times New Roman"/>
        </w:rPr>
        <w:t>引</w:t>
      </w:r>
      <w:bookmarkStart w:id="21" w:name="BKYY"/>
      <w:r>
        <w:rPr>
          <w:rFonts w:ascii="Times New Roman"/>
        </w:rPr>
        <w:t>  </w:t>
      </w:r>
      <w:r>
        <w:rPr>
          <w:rFonts w:hint="eastAsia" w:ascii="Times New Roman"/>
        </w:rPr>
        <w:t>言</w:t>
      </w:r>
      <w:bookmarkEnd w:id="20"/>
      <w:bookmarkEnd w:id="21"/>
    </w:p>
    <w:p w14:paraId="4E11FFCF">
      <w:pPr>
        <w:pStyle w:val="21"/>
        <w:rPr>
          <w:rFonts w:ascii="Times New Roman"/>
        </w:rPr>
      </w:pPr>
      <w:r>
        <w:rPr>
          <w:rFonts w:hint="eastAsia" w:ascii="Times New Roman"/>
        </w:rPr>
        <w:t xml:space="preserve">霄坑绿茶种植源于唐代，在历史上久负盛名，列入贵池县志记载的十三种地方特产之一。陈椽教授于1987年亲临霄坑茶区指导茶农制茶时指出：“此地生态皖南少有”，高度评价霄坑绿茶“花香花味”。2010年霄坑绿茶由国家农业农村部批准为地理标志农产（AGI2010-09-00440），为保护、规范霄坑绿茶这一品牌，特制定本标准。 </w:t>
      </w:r>
    </w:p>
    <w:p w14:paraId="1DB2732F">
      <w:pPr>
        <w:pStyle w:val="21"/>
        <w:rPr>
          <w:rFonts w:ascii="Times New Roman"/>
        </w:rPr>
        <w:sectPr>
          <w:headerReference r:id="rId3" w:type="default"/>
          <w:footerReference r:id="rId4" w:type="default"/>
          <w:pgSz w:w="11906" w:h="16838"/>
          <w:pgMar w:top="567" w:right="1134" w:bottom="1134" w:left="1418" w:header="1418" w:footer="1134" w:gutter="0"/>
          <w:pgNumType w:fmt="upperRoman" w:start="1"/>
          <w:cols w:space="425" w:num="1"/>
          <w:formProt w:val="0"/>
          <w:docGrid w:type="lines" w:linePitch="312" w:charSpace="0"/>
        </w:sectPr>
      </w:pPr>
    </w:p>
    <w:p w14:paraId="01AECFA7">
      <w:pPr>
        <w:pStyle w:val="46"/>
        <w:rPr>
          <w:rFonts w:ascii="Times New Roman"/>
        </w:rPr>
      </w:pPr>
      <w:sdt>
        <w:sdtPr>
          <w:rPr>
            <w:rFonts w:ascii="Times New Roman"/>
          </w:rPr>
          <w:alias w:val="标准名称"/>
          <w:tag w:val="标准名称"/>
          <w:id w:val="1795105741"/>
          <w:lock w:val="sdtLocked"/>
          <w:placeholder>
            <w:docPart w:val="111"/>
          </w:placeholder>
          <w:text w:multiLine="1"/>
        </w:sdtPr>
        <w:sdtEndPr>
          <w:rPr>
            <w:rFonts w:ascii="Times New Roman"/>
          </w:rPr>
        </w:sdtEndPr>
        <w:sdtContent>
          <w:r>
            <w:rPr>
              <w:rFonts w:hint="eastAsia" w:ascii="Times New Roman"/>
            </w:rPr>
            <w:t>地理标志农产品</w:t>
          </w:r>
          <w:r>
            <w:rPr>
              <w:rFonts w:ascii="Times New Roman"/>
            </w:rPr>
            <w:t xml:space="preserve"> </w:t>
          </w:r>
          <w:r>
            <w:rPr>
              <w:rFonts w:hint="eastAsia" w:ascii="Times New Roman"/>
            </w:rPr>
            <w:t>霄坑绿茶</w:t>
          </w:r>
          <w:r>
            <w:rPr>
              <w:rFonts w:ascii="Times New Roman"/>
            </w:rPr>
            <w:t xml:space="preserve">      </w:t>
          </w:r>
        </w:sdtContent>
      </w:sdt>
      <w:bookmarkStart w:id="22" w:name="StandardName"/>
      <w:bookmarkEnd w:id="22"/>
    </w:p>
    <w:p w14:paraId="53017A18">
      <w:pPr>
        <w:pStyle w:val="41"/>
        <w:spacing w:before="312" w:after="312"/>
        <w:rPr>
          <w:rFonts w:ascii="Times New Roman"/>
        </w:rPr>
      </w:pPr>
      <w:bookmarkStart w:id="23" w:name="_Toc152964046"/>
      <w:r>
        <w:rPr>
          <w:rFonts w:hint="eastAsia" w:ascii="Times New Roman"/>
        </w:rPr>
        <w:t>范围</w:t>
      </w:r>
      <w:bookmarkEnd w:id="23"/>
    </w:p>
    <w:p w14:paraId="4FFBF1A5">
      <w:pPr>
        <w:pStyle w:val="21"/>
        <w:rPr>
          <w:rFonts w:ascii="Times New Roman" w:cs="宋体"/>
          <w:color w:val="000000"/>
          <w:szCs w:val="21"/>
        </w:rPr>
      </w:pPr>
      <w:r>
        <w:rPr>
          <w:rFonts w:hint="eastAsia" w:ascii="Times New Roman" w:cs="宋体"/>
          <w:color w:val="000000"/>
          <w:szCs w:val="21"/>
        </w:rPr>
        <w:t>本文件规定了霄坑绿茶的术语和定义、产地范围、分级与实物标准样、自然环境、鲜叶及加工工艺、要求、</w:t>
      </w:r>
      <w:r>
        <w:rPr>
          <w:rFonts w:hint="eastAsia" w:ascii="Times New Roman" w:cs="宋体"/>
          <w:color w:val="000000"/>
          <w:szCs w:val="21"/>
          <w:lang w:val="en-US" w:eastAsia="zh-CN"/>
        </w:rPr>
        <w:t>品质要求</w:t>
      </w:r>
      <w:r>
        <w:rPr>
          <w:rFonts w:hint="eastAsia" w:ascii="Times New Roman" w:cs="宋体"/>
          <w:color w:val="000000"/>
          <w:szCs w:val="21"/>
        </w:rPr>
        <w:t>、</w:t>
      </w:r>
      <w:r>
        <w:rPr>
          <w:rFonts w:hint="eastAsia" w:ascii="Times New Roman" w:cs="宋体"/>
          <w:color w:val="000000"/>
          <w:szCs w:val="21"/>
          <w:lang w:val="en-US" w:eastAsia="zh-CN"/>
        </w:rPr>
        <w:t>理化指标、</w:t>
      </w:r>
      <w:r>
        <w:rPr>
          <w:rFonts w:hint="eastAsia" w:ascii="Times New Roman"/>
        </w:rPr>
        <w:t>标签</w:t>
      </w:r>
      <w:r>
        <w:rPr>
          <w:rFonts w:hint="eastAsia" w:ascii="Times New Roman" w:cs="宋体"/>
          <w:color w:val="000000"/>
          <w:szCs w:val="21"/>
        </w:rPr>
        <w:t xml:space="preserve">标志、包装、运输、贮存和产品召回。 </w:t>
      </w:r>
    </w:p>
    <w:p w14:paraId="286BDD73">
      <w:pPr>
        <w:pStyle w:val="21"/>
        <w:rPr>
          <w:rFonts w:ascii="Times New Roman"/>
          <w:szCs w:val="21"/>
        </w:rPr>
      </w:pPr>
      <w:r>
        <w:rPr>
          <w:rFonts w:hint="eastAsia" w:ascii="Times New Roman" w:cs="宋体"/>
          <w:color w:val="000000"/>
          <w:szCs w:val="21"/>
        </w:rPr>
        <w:t>本文件适用于在霄坑绿茶农产品地理标志地域保护范围生产的霄坑绿茶。</w:t>
      </w:r>
    </w:p>
    <w:p w14:paraId="2C755679">
      <w:pPr>
        <w:pStyle w:val="41"/>
        <w:spacing w:before="312" w:after="312"/>
        <w:rPr>
          <w:rFonts w:ascii="Times New Roman"/>
        </w:rPr>
      </w:pPr>
      <w:bookmarkStart w:id="24" w:name="_Toc152964047"/>
      <w:r>
        <w:rPr>
          <w:rFonts w:hint="eastAsia" w:ascii="Times New Roman"/>
        </w:rPr>
        <w:t>规范性引用文件</w:t>
      </w:r>
      <w:bookmarkEnd w:id="24"/>
    </w:p>
    <w:p w14:paraId="6E814166">
      <w:pPr>
        <w:pStyle w:val="21"/>
        <w:rPr>
          <w:rFonts w:ascii="Times New Roman"/>
        </w:rPr>
      </w:pPr>
      <w:r>
        <w:rPr>
          <w:rFonts w:hint="eastAsia" w:ascii="Times New Roman"/>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23ADFE27">
      <w:pPr>
        <w:pStyle w:val="21"/>
        <w:rPr>
          <w:rFonts w:ascii="Times New Roman"/>
        </w:rPr>
      </w:pPr>
      <w:r>
        <w:rPr>
          <w:rFonts w:ascii="Times New Roman"/>
        </w:rPr>
        <w:t xml:space="preserve">GB/T 191 </w:t>
      </w:r>
      <w:r>
        <w:rPr>
          <w:rFonts w:hint="eastAsia" w:ascii="Times New Roman"/>
        </w:rPr>
        <w:t xml:space="preserve">包装储运图示标志 </w:t>
      </w:r>
    </w:p>
    <w:p w14:paraId="3C0F689C">
      <w:pPr>
        <w:pStyle w:val="21"/>
        <w:rPr>
          <w:rFonts w:ascii="Times New Roman"/>
        </w:rPr>
      </w:pPr>
      <w:r>
        <w:rPr>
          <w:rFonts w:ascii="Times New Roman"/>
        </w:rPr>
        <w:t xml:space="preserve">GB 2762 </w:t>
      </w:r>
      <w:r>
        <w:rPr>
          <w:rFonts w:hint="eastAsia" w:ascii="Times New Roman"/>
        </w:rPr>
        <w:t xml:space="preserve">食品安全国家标准 食品中污染物限量 </w:t>
      </w:r>
    </w:p>
    <w:p w14:paraId="0C676813">
      <w:pPr>
        <w:pStyle w:val="21"/>
        <w:rPr>
          <w:rFonts w:ascii="Times New Roman"/>
        </w:rPr>
      </w:pPr>
      <w:r>
        <w:rPr>
          <w:rFonts w:ascii="Times New Roman"/>
        </w:rPr>
        <w:t xml:space="preserve">GB 2763 </w:t>
      </w:r>
      <w:r>
        <w:rPr>
          <w:rFonts w:hint="eastAsia" w:ascii="Times New Roman"/>
        </w:rPr>
        <w:t xml:space="preserve">食品安全国家标准 食品中农药最大残留限量 </w:t>
      </w:r>
    </w:p>
    <w:p w14:paraId="1BAA53F7">
      <w:pPr>
        <w:pStyle w:val="21"/>
        <w:rPr>
          <w:rFonts w:ascii="Times New Roman"/>
        </w:rPr>
      </w:pPr>
      <w:r>
        <w:rPr>
          <w:rFonts w:ascii="Times New Roman"/>
        </w:rPr>
        <w:t xml:space="preserve">GB 5009.3 </w:t>
      </w:r>
      <w:r>
        <w:rPr>
          <w:rFonts w:hint="eastAsia" w:ascii="Times New Roman"/>
        </w:rPr>
        <w:t xml:space="preserve">食品安全国家标准 食品中水分的测定 </w:t>
      </w:r>
    </w:p>
    <w:p w14:paraId="46EB4172">
      <w:pPr>
        <w:pStyle w:val="21"/>
        <w:rPr>
          <w:rFonts w:ascii="Times New Roman"/>
        </w:rPr>
      </w:pPr>
      <w:r>
        <w:rPr>
          <w:rFonts w:ascii="Times New Roman"/>
        </w:rPr>
        <w:t xml:space="preserve">GB 5009.4 </w:t>
      </w:r>
      <w:r>
        <w:rPr>
          <w:rFonts w:hint="eastAsia" w:ascii="Times New Roman"/>
        </w:rPr>
        <w:t xml:space="preserve">食品安全国家标准 食品中灰分的测定 </w:t>
      </w:r>
    </w:p>
    <w:p w14:paraId="0E2720A8">
      <w:pPr>
        <w:pStyle w:val="21"/>
        <w:rPr>
          <w:rFonts w:ascii="Times New Roman"/>
        </w:rPr>
      </w:pPr>
      <w:r>
        <w:rPr>
          <w:rFonts w:ascii="Times New Roman"/>
        </w:rPr>
        <w:t xml:space="preserve">GB 7718 </w:t>
      </w:r>
      <w:r>
        <w:rPr>
          <w:rFonts w:hint="eastAsia" w:ascii="Times New Roman"/>
        </w:rPr>
        <w:t xml:space="preserve">食品安全国家标准 预包装食品标签通则 </w:t>
      </w:r>
    </w:p>
    <w:p w14:paraId="67F7A303">
      <w:pPr>
        <w:pStyle w:val="21"/>
        <w:rPr>
          <w:rFonts w:ascii="Times New Roman"/>
        </w:rPr>
      </w:pPr>
      <w:r>
        <w:rPr>
          <w:rFonts w:ascii="Times New Roman"/>
        </w:rPr>
        <w:t xml:space="preserve">GB/T 8302 </w:t>
      </w:r>
      <w:r>
        <w:rPr>
          <w:rFonts w:hint="eastAsia" w:ascii="Times New Roman"/>
        </w:rPr>
        <w:t xml:space="preserve">茶 取样 </w:t>
      </w:r>
    </w:p>
    <w:p w14:paraId="69A5C306">
      <w:pPr>
        <w:pStyle w:val="21"/>
        <w:rPr>
          <w:rFonts w:ascii="Times New Roman"/>
        </w:rPr>
      </w:pPr>
      <w:r>
        <w:rPr>
          <w:rFonts w:ascii="Times New Roman"/>
        </w:rPr>
        <w:t xml:space="preserve">GB/T 8303 </w:t>
      </w:r>
      <w:r>
        <w:rPr>
          <w:rFonts w:hint="eastAsia" w:ascii="Times New Roman"/>
        </w:rPr>
        <w:t xml:space="preserve">茶 磨碎试样的制备及其干物质含量测定 </w:t>
      </w:r>
    </w:p>
    <w:p w14:paraId="3A28E345">
      <w:pPr>
        <w:pStyle w:val="21"/>
        <w:rPr>
          <w:rFonts w:ascii="Times New Roman"/>
        </w:rPr>
      </w:pPr>
      <w:r>
        <w:rPr>
          <w:rFonts w:ascii="Times New Roman"/>
        </w:rPr>
        <w:t xml:space="preserve">GB/T 8305 </w:t>
      </w:r>
      <w:r>
        <w:rPr>
          <w:rFonts w:hint="eastAsia" w:ascii="Times New Roman"/>
        </w:rPr>
        <w:t xml:space="preserve">茶 水浸出物测定 </w:t>
      </w:r>
    </w:p>
    <w:p w14:paraId="2C5AE75B">
      <w:pPr>
        <w:pStyle w:val="21"/>
        <w:rPr>
          <w:rFonts w:ascii="Times New Roman"/>
        </w:rPr>
      </w:pPr>
      <w:r>
        <w:rPr>
          <w:rFonts w:ascii="Times New Roman"/>
        </w:rPr>
        <w:t xml:space="preserve">GB/T 8310 </w:t>
      </w:r>
      <w:r>
        <w:rPr>
          <w:rFonts w:hint="eastAsia" w:ascii="Times New Roman"/>
        </w:rPr>
        <w:t xml:space="preserve">茶 粗纤维测定 </w:t>
      </w:r>
    </w:p>
    <w:p w14:paraId="7B386409">
      <w:pPr>
        <w:pStyle w:val="21"/>
        <w:rPr>
          <w:rFonts w:ascii="Times New Roman"/>
        </w:rPr>
      </w:pPr>
      <w:r>
        <w:rPr>
          <w:rFonts w:ascii="Times New Roman"/>
        </w:rPr>
        <w:t xml:space="preserve">GB/T 8311 </w:t>
      </w:r>
      <w:r>
        <w:rPr>
          <w:rFonts w:hint="eastAsia" w:ascii="Times New Roman"/>
        </w:rPr>
        <w:t xml:space="preserve">茶 粉末和碎茶含量测定 </w:t>
      </w:r>
    </w:p>
    <w:p w14:paraId="6B5D34B5">
      <w:pPr>
        <w:pStyle w:val="21"/>
        <w:rPr>
          <w:rFonts w:ascii="Times New Roman"/>
        </w:rPr>
      </w:pPr>
      <w:r>
        <w:rPr>
          <w:rFonts w:ascii="Times New Roman"/>
        </w:rPr>
        <w:t xml:space="preserve">GB/T 18795 </w:t>
      </w:r>
      <w:r>
        <w:rPr>
          <w:rFonts w:hint="eastAsia" w:ascii="Times New Roman"/>
        </w:rPr>
        <w:t xml:space="preserve">茶叶标准样品制备技术条件 </w:t>
      </w:r>
    </w:p>
    <w:p w14:paraId="389FB19F">
      <w:pPr>
        <w:pStyle w:val="21"/>
        <w:rPr>
          <w:rFonts w:ascii="Times New Roman"/>
        </w:rPr>
      </w:pPr>
      <w:r>
        <w:rPr>
          <w:rFonts w:ascii="Times New Roman"/>
        </w:rPr>
        <w:t xml:space="preserve">GB/T 23776 </w:t>
      </w:r>
      <w:r>
        <w:rPr>
          <w:rFonts w:hint="eastAsia" w:ascii="Times New Roman"/>
        </w:rPr>
        <w:t xml:space="preserve">茶叶感官审评方法 </w:t>
      </w:r>
    </w:p>
    <w:p w14:paraId="3BACF7FF">
      <w:pPr>
        <w:pStyle w:val="21"/>
        <w:rPr>
          <w:rFonts w:ascii="Times New Roman"/>
        </w:rPr>
      </w:pPr>
      <w:r>
        <w:rPr>
          <w:rFonts w:ascii="Times New Roman"/>
        </w:rPr>
        <w:t xml:space="preserve">GB/T 30375 </w:t>
      </w:r>
      <w:r>
        <w:rPr>
          <w:rFonts w:hint="eastAsia" w:ascii="Times New Roman"/>
        </w:rPr>
        <w:t xml:space="preserve">茶叶贮存 </w:t>
      </w:r>
    </w:p>
    <w:p w14:paraId="517EB3E6">
      <w:pPr>
        <w:pStyle w:val="21"/>
        <w:rPr>
          <w:rFonts w:ascii="Times New Roman"/>
        </w:rPr>
      </w:pPr>
      <w:r>
        <w:rPr>
          <w:rFonts w:ascii="Times New Roman"/>
        </w:rPr>
        <w:t xml:space="preserve">GB 31621 </w:t>
      </w:r>
      <w:r>
        <w:rPr>
          <w:rFonts w:hint="eastAsia" w:ascii="Times New Roman"/>
        </w:rPr>
        <w:t xml:space="preserve">食品安全国家标准 食品经营过程卫生规范 </w:t>
      </w:r>
    </w:p>
    <w:p w14:paraId="42BF94A0">
      <w:pPr>
        <w:pStyle w:val="21"/>
        <w:rPr>
          <w:rFonts w:ascii="Times New Roman"/>
        </w:rPr>
      </w:pPr>
      <w:r>
        <w:rPr>
          <w:rFonts w:ascii="Times New Roman"/>
        </w:rPr>
        <w:t xml:space="preserve">JJF 1070 </w:t>
      </w:r>
      <w:r>
        <w:rPr>
          <w:rFonts w:hint="eastAsia" w:ascii="Times New Roman"/>
        </w:rPr>
        <w:t xml:space="preserve">定量包装商品净含量计量检验规则 </w:t>
      </w:r>
    </w:p>
    <w:p w14:paraId="48B6C335">
      <w:pPr>
        <w:pStyle w:val="21"/>
        <w:rPr>
          <w:rFonts w:ascii="Times New Roman"/>
        </w:rPr>
      </w:pPr>
      <w:r>
        <w:rPr>
          <w:rFonts w:ascii="Times New Roman"/>
        </w:rPr>
        <w:t xml:space="preserve">GH/T 1070 </w:t>
      </w:r>
      <w:r>
        <w:rPr>
          <w:rFonts w:hint="eastAsia" w:ascii="Times New Roman"/>
        </w:rPr>
        <w:t xml:space="preserve">茶叶包装通则 </w:t>
      </w:r>
    </w:p>
    <w:p w14:paraId="31AC5561">
      <w:pPr>
        <w:pStyle w:val="21"/>
        <w:rPr>
          <w:rFonts w:ascii="Times New Roman"/>
        </w:rPr>
      </w:pPr>
      <w:r>
        <w:rPr>
          <w:rFonts w:ascii="Times New Roman"/>
        </w:rPr>
        <w:t xml:space="preserve">SB/T 10035 </w:t>
      </w:r>
      <w:r>
        <w:rPr>
          <w:rFonts w:hint="eastAsia" w:ascii="Times New Roman"/>
        </w:rPr>
        <w:t xml:space="preserve">茶叶销售包装通用技术条件 </w:t>
      </w:r>
    </w:p>
    <w:p w14:paraId="5BE6DB37">
      <w:pPr>
        <w:pStyle w:val="21"/>
        <w:rPr>
          <w:rFonts w:ascii="Times New Roman"/>
        </w:rPr>
      </w:pPr>
      <w:r>
        <w:rPr>
          <w:rFonts w:hint="eastAsia" w:ascii="Times New Roman"/>
        </w:rPr>
        <w:t>定量包装商品计量监督管理办法（国家质量监督检验检疫总局第75号令[2005]）</w:t>
      </w:r>
    </w:p>
    <w:p w14:paraId="4D00A5C5">
      <w:pPr>
        <w:pStyle w:val="41"/>
        <w:spacing w:before="312" w:after="312"/>
        <w:rPr>
          <w:rFonts w:ascii="Times New Roman"/>
        </w:rPr>
      </w:pPr>
      <w:bookmarkStart w:id="25" w:name="_Toc152964048"/>
      <w:r>
        <w:rPr>
          <w:rFonts w:hint="eastAsia" w:ascii="Times New Roman"/>
        </w:rPr>
        <w:t>术语和定义</w:t>
      </w:r>
      <w:bookmarkEnd w:id="25"/>
    </w:p>
    <w:p w14:paraId="59DBD0C8">
      <w:pPr>
        <w:pStyle w:val="21"/>
        <w:rPr>
          <w:rFonts w:ascii="Times New Roman"/>
        </w:rPr>
      </w:pPr>
      <w:r>
        <w:rPr>
          <w:rFonts w:hint="eastAsia" w:ascii="Times New Roman"/>
        </w:rPr>
        <w:t>下列术语和定义适用于本文件。</w:t>
      </w:r>
    </w:p>
    <w:p w14:paraId="0B7035BE">
      <w:pPr>
        <w:pStyle w:val="38"/>
        <w:spacing w:before="156" w:after="156"/>
        <w:rPr>
          <w:rFonts w:hAnsi="黑体"/>
          <w:color w:val="auto"/>
        </w:rPr>
      </w:pPr>
      <w:r>
        <w:rPr>
          <w:rFonts w:hint="eastAsia" w:ascii="Times New Roman"/>
        </w:rPr>
        <w:t xml:space="preserve">霄坑绿茶 </w:t>
      </w:r>
      <w:r>
        <w:rPr>
          <w:rFonts w:hint="eastAsia" w:hAnsi="黑体"/>
        </w:rPr>
        <w:t>Xiaokeng Green tea</w:t>
      </w:r>
    </w:p>
    <w:p w14:paraId="31DE5273">
      <w:pPr>
        <w:pStyle w:val="21"/>
        <w:rPr>
          <w:rFonts w:ascii="Times New Roman"/>
        </w:rPr>
      </w:pPr>
      <w:r>
        <w:rPr>
          <w:rFonts w:hint="eastAsia" w:ascii="Times New Roman"/>
          <w:color w:val="auto"/>
        </w:rPr>
        <w:t>在农产品地理标志地域保护范围内特有的自然生态环境条件下，选用地方群体良种茶树鲜叶，经特定工艺加工而成，具有“</w:t>
      </w:r>
      <w:r>
        <w:rPr>
          <w:rFonts w:hint="eastAsia" w:ascii="Times New Roman"/>
          <w:color w:val="auto"/>
          <w:lang w:val="en-US" w:eastAsia="zh-CN"/>
        </w:rPr>
        <w:t>条</w:t>
      </w:r>
      <w:r>
        <w:rPr>
          <w:rFonts w:hint="eastAsia" w:ascii="Times New Roman"/>
          <w:color w:val="auto"/>
        </w:rPr>
        <w:t>紧</w:t>
      </w:r>
      <w:r>
        <w:rPr>
          <w:rFonts w:hint="eastAsia" w:ascii="Times New Roman"/>
          <w:color w:val="auto"/>
          <w:lang w:val="en-US" w:eastAsia="zh-CN"/>
        </w:rPr>
        <w:t>色</w:t>
      </w:r>
      <w:r>
        <w:rPr>
          <w:rFonts w:hint="eastAsia" w:ascii="Times New Roman"/>
          <w:color w:val="auto"/>
        </w:rPr>
        <w:t>绿，花香花味”品质特征</w:t>
      </w:r>
      <w:r>
        <w:rPr>
          <w:rFonts w:hint="eastAsia" w:ascii="Times New Roman"/>
        </w:rPr>
        <w:t>的绿茶，并符合GB/T 14456的要求。</w:t>
      </w:r>
    </w:p>
    <w:p w14:paraId="44A0DB9D">
      <w:pPr>
        <w:pStyle w:val="41"/>
        <w:numPr>
          <w:ilvl w:val="0"/>
          <w:numId w:val="0"/>
        </w:numPr>
        <w:spacing w:before="312" w:after="312"/>
        <w:ind w:leftChars="0"/>
        <w:rPr>
          <w:rFonts w:ascii="Times New Roman"/>
        </w:rPr>
      </w:pPr>
      <w:bookmarkStart w:id="26" w:name="_Toc152964049"/>
    </w:p>
    <w:p w14:paraId="17A805EC">
      <w:pPr>
        <w:pStyle w:val="41"/>
        <w:spacing w:before="312" w:after="312"/>
        <w:rPr>
          <w:rFonts w:ascii="Times New Roman"/>
        </w:rPr>
      </w:pPr>
      <w:r>
        <w:rPr>
          <w:rFonts w:hint="eastAsia" w:ascii="Times New Roman"/>
        </w:rPr>
        <w:t>产地范围</w:t>
      </w:r>
      <w:bookmarkEnd w:id="26"/>
    </w:p>
    <w:p w14:paraId="31607F46">
      <w:pPr>
        <w:pStyle w:val="21"/>
        <w:rPr>
          <w:rFonts w:ascii="Times New Roman"/>
        </w:rPr>
      </w:pPr>
      <w:r>
        <w:rPr>
          <w:rFonts w:hint="eastAsia" w:ascii="Times New Roman"/>
        </w:rPr>
        <w:t>霄坑绿茶农产品地理标志地域保护范围包括池州市贵池区梅村镇霄坑村全村12个村民组及棠溪镇西山村高塘村民组共13个村民组茶园，东经117°28′51″～117°34′46″，北纬30°19′02″～30°22′47″，面积320公顷。</w:t>
      </w:r>
    </w:p>
    <w:p w14:paraId="4890BD4E">
      <w:pPr>
        <w:pStyle w:val="41"/>
        <w:spacing w:before="312" w:after="312"/>
        <w:rPr>
          <w:rFonts w:ascii="Times New Roman"/>
        </w:rPr>
      </w:pPr>
      <w:bookmarkStart w:id="27" w:name="_Toc152964050"/>
      <w:r>
        <w:rPr>
          <w:rFonts w:hint="eastAsia" w:ascii="Times New Roman"/>
        </w:rPr>
        <w:t>分级及实物标准样</w:t>
      </w:r>
      <w:bookmarkEnd w:id="27"/>
    </w:p>
    <w:p w14:paraId="5CC3A05E">
      <w:pPr>
        <w:pStyle w:val="38"/>
        <w:spacing w:before="156" w:after="156"/>
        <w:rPr>
          <w:rFonts w:ascii="Times New Roman"/>
        </w:rPr>
      </w:pPr>
      <w:r>
        <w:rPr>
          <w:rFonts w:hint="eastAsia" w:ascii="Times New Roman"/>
        </w:rPr>
        <w:t>分级</w:t>
      </w:r>
    </w:p>
    <w:p w14:paraId="3A2C98D5">
      <w:pPr>
        <w:pStyle w:val="21"/>
        <w:rPr>
          <w:rFonts w:hint="default" w:ascii="Times New Roman" w:eastAsia="宋体"/>
          <w:lang w:val="en-US" w:eastAsia="zh-CN"/>
        </w:rPr>
      </w:pPr>
      <w:r>
        <w:rPr>
          <w:rFonts w:hint="eastAsia" w:ascii="Times New Roman"/>
        </w:rPr>
        <w:t>霄坑绿茶按感官品质分为特级、一级、二级、三级</w:t>
      </w:r>
      <w:r>
        <w:rPr>
          <w:rFonts w:hint="eastAsia" w:ascii="Times New Roman"/>
          <w:lang w:eastAsia="zh-CN"/>
        </w:rPr>
        <w:t>，</w:t>
      </w:r>
      <w:r>
        <w:rPr>
          <w:rFonts w:hint="eastAsia" w:ascii="Times New Roman"/>
          <w:lang w:val="en-US" w:eastAsia="zh-CN"/>
        </w:rPr>
        <w:t>并设相应等级的实物标准样。</w:t>
      </w:r>
    </w:p>
    <w:p w14:paraId="34CE7137">
      <w:pPr>
        <w:pStyle w:val="38"/>
        <w:spacing w:before="156" w:after="156"/>
        <w:rPr>
          <w:rFonts w:ascii="Times New Roman"/>
        </w:rPr>
      </w:pPr>
      <w:r>
        <w:rPr>
          <w:rFonts w:hint="eastAsia" w:ascii="Times New Roman"/>
        </w:rPr>
        <w:t>实物标准样</w:t>
      </w:r>
    </w:p>
    <w:p w14:paraId="4020B9D8">
      <w:pPr>
        <w:pStyle w:val="21"/>
        <w:rPr>
          <w:rFonts w:ascii="Times New Roman"/>
        </w:rPr>
      </w:pPr>
      <w:r>
        <w:rPr>
          <w:rFonts w:hint="eastAsia" w:ascii="Times New Roman"/>
        </w:rPr>
        <w:t>每级设一个标准样，每两年换样一次，实物标准样的制备应符合GB/T 18795的规定。</w:t>
      </w:r>
    </w:p>
    <w:p w14:paraId="1B71EA1F">
      <w:pPr>
        <w:pStyle w:val="41"/>
        <w:spacing w:before="312" w:after="312"/>
        <w:rPr>
          <w:rFonts w:ascii="Times New Roman"/>
        </w:rPr>
      </w:pPr>
      <w:bookmarkStart w:id="28" w:name="_Toc152964051"/>
      <w:r>
        <w:rPr>
          <w:rFonts w:hint="eastAsia" w:ascii="Times New Roman"/>
        </w:rPr>
        <w:t>自然环境</w:t>
      </w:r>
      <w:bookmarkEnd w:id="28"/>
    </w:p>
    <w:p w14:paraId="6340E3E6">
      <w:pPr>
        <w:pStyle w:val="38"/>
        <w:spacing w:before="156" w:after="156"/>
        <w:rPr>
          <w:rFonts w:ascii="Times New Roman"/>
        </w:rPr>
      </w:pPr>
      <w:r>
        <w:rPr>
          <w:rFonts w:hint="eastAsia" w:ascii="Times New Roman"/>
        </w:rPr>
        <w:t>气候</w:t>
      </w:r>
    </w:p>
    <w:p w14:paraId="7C2131F6">
      <w:pPr>
        <w:pStyle w:val="21"/>
        <w:rPr>
          <w:rFonts w:ascii="Times New Roman"/>
          <w:color w:val="auto"/>
        </w:rPr>
      </w:pPr>
      <w:r>
        <w:rPr>
          <w:rFonts w:hint="eastAsia" w:ascii="Times New Roman"/>
        </w:rPr>
        <w:t>霄坑茶</w:t>
      </w:r>
      <w:r>
        <w:rPr>
          <w:rFonts w:hint="eastAsia" w:ascii="Times New Roman"/>
          <w:color w:val="auto"/>
        </w:rPr>
        <w:t>区（霄坑绿茶产区）地处皖南山区九华山山脉，属亚热带季风湿润气候区，具有四季分明，夏季高温多雨，冬季温和湿润的特点。年日照时数1931h，年太阳辐射总量为472.3 Kj/cm</w:t>
      </w:r>
      <w:r>
        <w:rPr>
          <w:rFonts w:hint="eastAsia" w:ascii="Times New Roman"/>
          <w:color w:val="auto"/>
          <w:vertAlign w:val="superscript"/>
        </w:rPr>
        <w:t>2</w:t>
      </w:r>
      <w:r>
        <w:rPr>
          <w:rFonts w:hint="eastAsia" w:ascii="Times New Roman"/>
          <w:color w:val="auto"/>
        </w:rPr>
        <w:t>；年平均气温</w:t>
      </w:r>
      <w:r>
        <w:rPr>
          <w:rFonts w:hint="eastAsia" w:asciiTheme="minorEastAsia" w:hAnsiTheme="minorEastAsia" w:eastAsiaTheme="minorEastAsia"/>
          <w:color w:val="auto"/>
        </w:rPr>
        <w:t>16.1℃</w:t>
      </w:r>
      <w:r>
        <w:rPr>
          <w:rFonts w:hint="eastAsia" w:ascii="Times New Roman"/>
          <w:color w:val="auto"/>
        </w:rPr>
        <w:t>，有效积温值4000～5100℃；全年无霜期219～243d；年平均降水量1493mm，平均相对湿度78%。</w:t>
      </w:r>
    </w:p>
    <w:p w14:paraId="0F0342CD">
      <w:pPr>
        <w:pStyle w:val="38"/>
        <w:spacing w:before="156" w:after="156"/>
        <w:rPr>
          <w:rFonts w:ascii="Times New Roman"/>
          <w:color w:val="auto"/>
        </w:rPr>
      </w:pPr>
      <w:r>
        <w:rPr>
          <w:rFonts w:hint="eastAsia" w:ascii="Times New Roman"/>
          <w:color w:val="auto"/>
        </w:rPr>
        <w:t>地貌与土壤</w:t>
      </w:r>
    </w:p>
    <w:p w14:paraId="25E614E7">
      <w:pPr>
        <w:pStyle w:val="21"/>
        <w:rPr>
          <w:rFonts w:ascii="Times New Roman"/>
          <w:color w:val="auto"/>
        </w:rPr>
      </w:pPr>
      <w:r>
        <w:rPr>
          <w:rFonts w:hint="eastAsia" w:ascii="Times New Roman"/>
          <w:color w:val="auto"/>
        </w:rPr>
        <w:t>霄坑茶区（霄坑绿茶产区）位于海拔300～650m的山间坡地或山坞中，山峦重叠、谷狭壑深。茶园土壤为花岗岩母质风化的山地黄棕壤，</w:t>
      </w:r>
      <w:r>
        <w:rPr>
          <w:rFonts w:hint="eastAsia" w:ascii="Times New Roman"/>
          <w:color w:val="auto"/>
          <w:lang w:val="en-US" w:eastAsia="zh-CN"/>
        </w:rPr>
        <w:t>p</w:t>
      </w:r>
      <w:r>
        <w:rPr>
          <w:rFonts w:hint="eastAsia" w:ascii="Times New Roman"/>
          <w:color w:val="auto"/>
        </w:rPr>
        <w:t>H为4.5～6.5。</w:t>
      </w:r>
    </w:p>
    <w:p w14:paraId="5F78654F">
      <w:pPr>
        <w:pStyle w:val="38"/>
        <w:spacing w:before="156" w:after="156"/>
        <w:rPr>
          <w:rFonts w:ascii="Times New Roman"/>
          <w:color w:val="auto"/>
        </w:rPr>
      </w:pPr>
      <w:r>
        <w:rPr>
          <w:rFonts w:hint="eastAsia" w:ascii="Times New Roman"/>
          <w:color w:val="auto"/>
        </w:rPr>
        <w:t xml:space="preserve">水源与水质 </w:t>
      </w:r>
    </w:p>
    <w:p w14:paraId="681E4D5A">
      <w:pPr>
        <w:pStyle w:val="21"/>
        <w:rPr>
          <w:rFonts w:ascii="Times New Roman"/>
          <w:color w:val="auto"/>
        </w:rPr>
      </w:pPr>
      <w:r>
        <w:rPr>
          <w:rFonts w:hint="eastAsia" w:ascii="Times New Roman"/>
          <w:color w:val="auto"/>
        </w:rPr>
        <w:t xml:space="preserve">霄坑茶区（霄坑绿茶产区）分布于霄坑河流域，霄坑河起源于霄坑龙池，全长36公里，向下流入龙须河，于殷汇镇石城村汇入秋浦河。根据农业部行业标准《农用水源环境质量监测技术规范》（NY/T396-2000）判定，霄坑绿茶种植区域水质的综合污染数为1级，属清洁水平。 </w:t>
      </w:r>
    </w:p>
    <w:p w14:paraId="27BFD803">
      <w:pPr>
        <w:pStyle w:val="38"/>
        <w:spacing w:before="156" w:after="156"/>
        <w:rPr>
          <w:rFonts w:ascii="Times New Roman"/>
          <w:color w:val="auto"/>
        </w:rPr>
      </w:pPr>
      <w:r>
        <w:rPr>
          <w:rFonts w:hint="eastAsia" w:ascii="Times New Roman"/>
          <w:color w:val="auto"/>
        </w:rPr>
        <w:t>生态环境与大气状况</w:t>
      </w:r>
    </w:p>
    <w:p w14:paraId="55D6521F">
      <w:pPr>
        <w:pStyle w:val="21"/>
        <w:rPr>
          <w:rFonts w:ascii="Times New Roman"/>
          <w:color w:val="auto"/>
        </w:rPr>
      </w:pPr>
      <w:r>
        <w:rPr>
          <w:rFonts w:hint="eastAsia" w:ascii="Times New Roman"/>
          <w:color w:val="auto"/>
        </w:rPr>
        <w:t>霄坑茶区（霄坑绿茶产区）坐落在长约25公里的高山峡谷之中，山场总面积7.2万亩，其中国家公益林面积5.1万亩，原始森林3万亩，自然植被保存完好，森林覆盖率92%，为茶树的生长提供了优异的生态环境。</w:t>
      </w:r>
    </w:p>
    <w:p w14:paraId="6AAC4554">
      <w:pPr>
        <w:pStyle w:val="41"/>
        <w:spacing w:before="312" w:after="312"/>
        <w:rPr>
          <w:rFonts w:ascii="Times New Roman"/>
          <w:color w:val="auto"/>
        </w:rPr>
      </w:pPr>
      <w:bookmarkStart w:id="29" w:name="_Toc152964053"/>
      <w:r>
        <w:rPr>
          <w:rFonts w:hint="eastAsia" w:ascii="Times New Roman"/>
          <w:color w:val="auto"/>
        </w:rPr>
        <w:t>鲜叶及加工工艺</w:t>
      </w:r>
      <w:bookmarkEnd w:id="29"/>
    </w:p>
    <w:p w14:paraId="13F2CDC4">
      <w:pPr>
        <w:pStyle w:val="38"/>
        <w:spacing w:before="156" w:after="156"/>
        <w:rPr>
          <w:rFonts w:ascii="Times New Roman" w:eastAsia="宋体"/>
        </w:rPr>
      </w:pPr>
      <w:r>
        <w:rPr>
          <w:rFonts w:hint="eastAsia" w:ascii="Times New Roman" w:eastAsia="宋体"/>
        </w:rPr>
        <w:t>鲜叶应来源于符合NY/T 2798.6和GB/Z 26576规范管理的茶园，并按GB/T 31748进行处理。</w:t>
      </w:r>
    </w:p>
    <w:p w14:paraId="5CC1646C">
      <w:pPr>
        <w:pStyle w:val="38"/>
        <w:spacing w:before="156" w:after="156"/>
        <w:rPr>
          <w:rFonts w:asciiTheme="minorEastAsia" w:hAnsiTheme="minorEastAsia" w:eastAsiaTheme="minorEastAsia"/>
        </w:rPr>
      </w:pPr>
      <w:r>
        <w:rPr>
          <w:rFonts w:hint="eastAsia" w:asciiTheme="minorEastAsia" w:hAnsiTheme="minorEastAsia" w:eastAsiaTheme="minorEastAsia"/>
        </w:rPr>
        <w:t>鲜叶原料应符合表1 的规定。</w:t>
      </w:r>
    </w:p>
    <w:p w14:paraId="5FC37440">
      <w:pPr>
        <w:widowControl/>
        <w:autoSpaceDE w:val="0"/>
        <w:spacing w:line="360" w:lineRule="auto"/>
        <w:jc w:val="center"/>
        <w:outlineLvl w:val="3"/>
        <w:rPr>
          <w:rFonts w:ascii="黑体" w:hAnsi="黑体" w:eastAsia="黑体"/>
          <w:bCs/>
          <w:kern w:val="0"/>
          <w:szCs w:val="21"/>
        </w:rPr>
      </w:pPr>
      <w:r>
        <w:rPr>
          <w:rFonts w:hint="eastAsia" w:ascii="黑体" w:hAnsi="黑体" w:eastAsia="黑体"/>
          <w:bCs/>
          <w:kern w:val="0"/>
          <w:szCs w:val="21"/>
        </w:rPr>
        <w:t xml:space="preserve">表1 </w:t>
      </w:r>
      <w:r>
        <w:rPr>
          <w:rFonts w:ascii="黑体" w:hAnsi="黑体" w:eastAsia="黑体"/>
          <w:bCs/>
          <w:kern w:val="0"/>
          <w:szCs w:val="21"/>
        </w:rPr>
        <w:t xml:space="preserve"> </w:t>
      </w:r>
      <w:r>
        <w:rPr>
          <w:rFonts w:hint="eastAsia" w:ascii="黑体" w:hAnsi="黑体" w:eastAsia="黑体"/>
          <w:bCs/>
          <w:kern w:val="0"/>
          <w:szCs w:val="21"/>
        </w:rPr>
        <w:t>霄坑绿茶鲜叶要求</w:t>
      </w:r>
    </w:p>
    <w:tbl>
      <w:tblPr>
        <w:tblStyle w:val="1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1"/>
        <w:gridCol w:w="2409"/>
        <w:gridCol w:w="2342"/>
        <w:gridCol w:w="2479"/>
      </w:tblGrid>
      <w:tr w14:paraId="28FE6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Borders>
              <w:top w:val="single" w:color="000000" w:sz="4" w:space="0"/>
              <w:left w:val="single" w:color="000000" w:sz="4" w:space="0"/>
              <w:bottom w:val="single" w:color="000000" w:sz="4" w:space="0"/>
              <w:right w:val="single" w:color="000000" w:sz="4" w:space="0"/>
            </w:tcBorders>
          </w:tcPr>
          <w:p w14:paraId="0E77021E">
            <w:pPr>
              <w:widowControl/>
              <w:autoSpaceDE w:val="0"/>
              <w:jc w:val="center"/>
              <w:outlineLvl w:val="3"/>
              <w:rPr>
                <w:rFonts w:asciiTheme="minorEastAsia" w:hAnsiTheme="minorEastAsia" w:eastAsiaTheme="minorEastAsia"/>
                <w:bCs/>
                <w:kern w:val="0"/>
                <w:sz w:val="18"/>
                <w:szCs w:val="18"/>
              </w:rPr>
            </w:pPr>
            <w:r>
              <w:rPr>
                <w:rFonts w:hint="eastAsia" w:asciiTheme="minorEastAsia" w:hAnsiTheme="minorEastAsia" w:eastAsiaTheme="minorEastAsia"/>
                <w:bCs/>
                <w:kern w:val="0"/>
                <w:sz w:val="18"/>
                <w:szCs w:val="18"/>
              </w:rPr>
              <w:t>采收时间</w:t>
            </w:r>
          </w:p>
        </w:tc>
        <w:tc>
          <w:tcPr>
            <w:tcW w:w="2409" w:type="dxa"/>
            <w:tcBorders>
              <w:top w:val="single" w:color="000000" w:sz="4" w:space="0"/>
              <w:left w:val="single" w:color="000000" w:sz="4" w:space="0"/>
              <w:bottom w:val="single" w:color="000000" w:sz="4" w:space="0"/>
              <w:right w:val="single" w:color="000000" w:sz="4" w:space="0"/>
            </w:tcBorders>
          </w:tcPr>
          <w:p w14:paraId="4B07E8B6">
            <w:pPr>
              <w:widowControl/>
              <w:autoSpaceDE w:val="0"/>
              <w:jc w:val="center"/>
              <w:outlineLvl w:val="3"/>
              <w:rPr>
                <w:rFonts w:asciiTheme="minorEastAsia" w:hAnsiTheme="minorEastAsia" w:eastAsiaTheme="minorEastAsia"/>
                <w:bCs/>
                <w:kern w:val="0"/>
                <w:sz w:val="18"/>
                <w:szCs w:val="18"/>
              </w:rPr>
            </w:pPr>
            <w:r>
              <w:rPr>
                <w:rFonts w:hint="eastAsia" w:asciiTheme="minorEastAsia" w:hAnsiTheme="minorEastAsia" w:eastAsiaTheme="minorEastAsia"/>
                <w:bCs/>
                <w:kern w:val="0"/>
                <w:sz w:val="18"/>
                <w:szCs w:val="18"/>
              </w:rPr>
              <w:t>春茶早期</w:t>
            </w:r>
          </w:p>
        </w:tc>
        <w:tc>
          <w:tcPr>
            <w:tcW w:w="2342" w:type="dxa"/>
            <w:tcBorders>
              <w:top w:val="single" w:color="000000" w:sz="4" w:space="0"/>
              <w:left w:val="single" w:color="000000" w:sz="4" w:space="0"/>
              <w:bottom w:val="single" w:color="000000" w:sz="4" w:space="0"/>
              <w:right w:val="single" w:color="000000" w:sz="4" w:space="0"/>
            </w:tcBorders>
          </w:tcPr>
          <w:p w14:paraId="6E9F1C47">
            <w:pPr>
              <w:widowControl/>
              <w:autoSpaceDE w:val="0"/>
              <w:jc w:val="center"/>
              <w:outlineLvl w:val="3"/>
              <w:rPr>
                <w:rFonts w:asciiTheme="minorEastAsia" w:hAnsiTheme="minorEastAsia" w:eastAsiaTheme="minorEastAsia"/>
                <w:bCs/>
                <w:kern w:val="0"/>
                <w:sz w:val="18"/>
                <w:szCs w:val="18"/>
              </w:rPr>
            </w:pPr>
            <w:r>
              <w:rPr>
                <w:rFonts w:hint="eastAsia" w:asciiTheme="minorEastAsia" w:hAnsiTheme="minorEastAsia" w:eastAsiaTheme="minorEastAsia"/>
                <w:bCs/>
                <w:kern w:val="0"/>
                <w:sz w:val="18"/>
                <w:szCs w:val="18"/>
              </w:rPr>
              <w:t>春茶中期</w:t>
            </w:r>
          </w:p>
        </w:tc>
        <w:tc>
          <w:tcPr>
            <w:tcW w:w="2477" w:type="dxa"/>
            <w:tcBorders>
              <w:top w:val="single" w:color="000000" w:sz="4" w:space="0"/>
              <w:left w:val="single" w:color="000000" w:sz="4" w:space="0"/>
              <w:bottom w:val="single" w:color="000000" w:sz="4" w:space="0"/>
              <w:right w:val="single" w:color="000000" w:sz="4" w:space="0"/>
            </w:tcBorders>
          </w:tcPr>
          <w:p w14:paraId="1C77C9BD">
            <w:pPr>
              <w:widowControl/>
              <w:autoSpaceDE w:val="0"/>
              <w:jc w:val="center"/>
              <w:outlineLvl w:val="3"/>
              <w:rPr>
                <w:rFonts w:asciiTheme="minorEastAsia" w:hAnsiTheme="minorEastAsia" w:eastAsiaTheme="minorEastAsia"/>
                <w:bCs/>
                <w:kern w:val="0"/>
                <w:sz w:val="18"/>
                <w:szCs w:val="18"/>
              </w:rPr>
            </w:pPr>
            <w:r>
              <w:rPr>
                <w:rFonts w:hint="eastAsia" w:asciiTheme="minorEastAsia" w:hAnsiTheme="minorEastAsia" w:eastAsiaTheme="minorEastAsia"/>
                <w:bCs/>
                <w:kern w:val="0"/>
                <w:sz w:val="18"/>
                <w:szCs w:val="18"/>
              </w:rPr>
              <w:t>春</w:t>
            </w:r>
            <w:r>
              <w:rPr>
                <w:rFonts w:hint="eastAsia" w:asciiTheme="minorEastAsia" w:hAnsiTheme="minorEastAsia" w:eastAsiaTheme="minorEastAsia"/>
                <w:bCs/>
                <w:kern w:val="0"/>
                <w:sz w:val="18"/>
                <w:szCs w:val="18"/>
                <w:lang w:val="en-US" w:eastAsia="zh-CN"/>
              </w:rPr>
              <w:t>茶</w:t>
            </w:r>
            <w:r>
              <w:rPr>
                <w:rFonts w:hint="eastAsia" w:asciiTheme="minorEastAsia" w:hAnsiTheme="minorEastAsia" w:eastAsiaTheme="minorEastAsia"/>
                <w:bCs/>
                <w:kern w:val="0"/>
                <w:sz w:val="18"/>
                <w:szCs w:val="18"/>
              </w:rPr>
              <w:t>后期和夏秋茶</w:t>
            </w:r>
          </w:p>
        </w:tc>
      </w:tr>
      <w:tr w14:paraId="26F71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Borders>
              <w:top w:val="single" w:color="000000" w:sz="4" w:space="0"/>
              <w:left w:val="single" w:color="000000" w:sz="4" w:space="0"/>
              <w:bottom w:val="single" w:color="000000" w:sz="4" w:space="0"/>
              <w:right w:val="single" w:color="000000" w:sz="4" w:space="0"/>
            </w:tcBorders>
          </w:tcPr>
          <w:p w14:paraId="671E9B6E">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 xml:space="preserve">嫩 </w:t>
            </w:r>
            <w:r>
              <w:rPr>
                <w:rFonts w:asciiTheme="minorEastAsia" w:hAnsiTheme="minorEastAsia" w:eastAsiaTheme="minorEastAsia"/>
                <w:kern w:val="0"/>
                <w:sz w:val="18"/>
                <w:szCs w:val="18"/>
              </w:rPr>
              <w:t xml:space="preserve"> </w:t>
            </w:r>
            <w:r>
              <w:rPr>
                <w:rFonts w:hint="eastAsia" w:asciiTheme="minorEastAsia" w:hAnsiTheme="minorEastAsia" w:eastAsiaTheme="minorEastAsia"/>
                <w:kern w:val="0"/>
                <w:sz w:val="18"/>
                <w:szCs w:val="18"/>
              </w:rPr>
              <w:t>度</w:t>
            </w:r>
          </w:p>
        </w:tc>
        <w:tc>
          <w:tcPr>
            <w:tcW w:w="2409" w:type="dxa"/>
            <w:tcBorders>
              <w:top w:val="single" w:color="000000" w:sz="4" w:space="0"/>
              <w:left w:val="single" w:color="000000" w:sz="4" w:space="0"/>
              <w:bottom w:val="single" w:color="000000" w:sz="4" w:space="0"/>
              <w:right w:val="single" w:color="000000" w:sz="4" w:space="0"/>
            </w:tcBorders>
          </w:tcPr>
          <w:p w14:paraId="4AC8FBB1">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一芽二叶初展为主</w:t>
            </w:r>
          </w:p>
        </w:tc>
        <w:tc>
          <w:tcPr>
            <w:tcW w:w="2342" w:type="dxa"/>
            <w:tcBorders>
              <w:top w:val="single" w:color="000000" w:sz="4" w:space="0"/>
              <w:left w:val="single" w:color="000000" w:sz="4" w:space="0"/>
              <w:bottom w:val="single" w:color="000000" w:sz="4" w:space="0"/>
              <w:right w:val="single" w:color="000000" w:sz="4" w:space="0"/>
            </w:tcBorders>
          </w:tcPr>
          <w:p w14:paraId="15CDEC0A">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一芽二叶为主</w:t>
            </w:r>
          </w:p>
        </w:tc>
        <w:tc>
          <w:tcPr>
            <w:tcW w:w="2477" w:type="dxa"/>
            <w:tcBorders>
              <w:top w:val="single" w:color="000000" w:sz="4" w:space="0"/>
              <w:left w:val="single" w:color="000000" w:sz="4" w:space="0"/>
              <w:bottom w:val="single" w:color="000000" w:sz="4" w:space="0"/>
              <w:right w:val="single" w:color="000000" w:sz="4" w:space="0"/>
            </w:tcBorders>
          </w:tcPr>
          <w:p w14:paraId="581AC6E7">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一芽二、三叶为主</w:t>
            </w:r>
          </w:p>
        </w:tc>
      </w:tr>
      <w:tr w14:paraId="4E1F5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1601" w:type="dxa"/>
            <w:tcBorders>
              <w:top w:val="single" w:color="000000" w:sz="4" w:space="0"/>
              <w:left w:val="single" w:color="000000" w:sz="4" w:space="0"/>
              <w:bottom w:val="single" w:color="000000" w:sz="4" w:space="0"/>
              <w:right w:val="single" w:color="000000" w:sz="4" w:space="0"/>
            </w:tcBorders>
          </w:tcPr>
          <w:p w14:paraId="23C2AAE2">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 xml:space="preserve">匀 </w:t>
            </w:r>
            <w:r>
              <w:rPr>
                <w:rFonts w:asciiTheme="minorEastAsia" w:hAnsiTheme="minorEastAsia" w:eastAsiaTheme="minorEastAsia"/>
                <w:kern w:val="0"/>
                <w:sz w:val="18"/>
                <w:szCs w:val="18"/>
              </w:rPr>
              <w:t xml:space="preserve"> </w:t>
            </w:r>
            <w:r>
              <w:rPr>
                <w:rFonts w:hint="eastAsia" w:asciiTheme="minorEastAsia" w:hAnsiTheme="minorEastAsia" w:eastAsiaTheme="minorEastAsia"/>
                <w:kern w:val="0"/>
                <w:sz w:val="18"/>
                <w:szCs w:val="18"/>
              </w:rPr>
              <w:t>度</w:t>
            </w:r>
          </w:p>
        </w:tc>
        <w:tc>
          <w:tcPr>
            <w:tcW w:w="2409" w:type="dxa"/>
            <w:tcBorders>
              <w:top w:val="single" w:color="000000" w:sz="4" w:space="0"/>
              <w:left w:val="single" w:color="000000" w:sz="4" w:space="0"/>
              <w:bottom w:val="single" w:color="000000" w:sz="4" w:space="0"/>
              <w:right w:val="single" w:color="000000" w:sz="4" w:space="0"/>
            </w:tcBorders>
          </w:tcPr>
          <w:p w14:paraId="04E0F618">
            <w:pPr>
              <w:widowControl/>
              <w:autoSpaceDE w:val="0"/>
              <w:jc w:val="center"/>
              <w:outlineLvl w:val="3"/>
              <w:rPr>
                <w:rFonts w:asciiTheme="minorEastAsia" w:hAnsiTheme="minorEastAsia" w:eastAsiaTheme="minorEastAsia"/>
                <w:kern w:val="0"/>
                <w:sz w:val="18"/>
                <w:szCs w:val="18"/>
              </w:rPr>
            </w:pPr>
            <w:r>
              <w:rPr>
                <w:rFonts w:hint="eastAsia" w:asciiTheme="minorEastAsia" w:hAnsiTheme="minorEastAsia" w:eastAsiaTheme="minorEastAsia"/>
                <w:kern w:val="0"/>
                <w:sz w:val="18"/>
                <w:szCs w:val="18"/>
              </w:rPr>
              <w:t>一芽二叶初展≥</w:t>
            </w:r>
            <w:r>
              <w:rPr>
                <w:rFonts w:asciiTheme="minorEastAsia" w:hAnsiTheme="minorEastAsia" w:eastAsiaTheme="minorEastAsia"/>
                <w:kern w:val="0"/>
                <w:sz w:val="18"/>
                <w:szCs w:val="18"/>
              </w:rPr>
              <w:t>7</w:t>
            </w:r>
            <w:r>
              <w:rPr>
                <w:rFonts w:hint="eastAsia" w:asciiTheme="minorEastAsia" w:hAnsiTheme="minorEastAsia" w:eastAsiaTheme="minorEastAsia"/>
                <w:kern w:val="0"/>
                <w:sz w:val="18"/>
                <w:szCs w:val="18"/>
              </w:rPr>
              <w:t>0%，</w:t>
            </w:r>
          </w:p>
          <w:p w14:paraId="4A6E7CED">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一芽二叶≤</w:t>
            </w:r>
            <w:r>
              <w:rPr>
                <w:rFonts w:asciiTheme="minorEastAsia" w:hAnsiTheme="minorEastAsia" w:eastAsiaTheme="minorEastAsia"/>
                <w:kern w:val="0"/>
                <w:sz w:val="18"/>
                <w:szCs w:val="18"/>
              </w:rPr>
              <w:t>3</w:t>
            </w:r>
            <w:r>
              <w:rPr>
                <w:rFonts w:hint="eastAsia" w:asciiTheme="minorEastAsia" w:hAnsiTheme="minorEastAsia" w:eastAsiaTheme="minorEastAsia"/>
                <w:kern w:val="0"/>
                <w:sz w:val="18"/>
                <w:szCs w:val="18"/>
              </w:rPr>
              <w:t>0%</w:t>
            </w:r>
          </w:p>
        </w:tc>
        <w:tc>
          <w:tcPr>
            <w:tcW w:w="2342" w:type="dxa"/>
            <w:tcBorders>
              <w:top w:val="single" w:color="000000" w:sz="4" w:space="0"/>
              <w:left w:val="single" w:color="000000" w:sz="4" w:space="0"/>
              <w:bottom w:val="single" w:color="000000" w:sz="4" w:space="0"/>
              <w:right w:val="single" w:color="000000" w:sz="4" w:space="0"/>
            </w:tcBorders>
          </w:tcPr>
          <w:p w14:paraId="03251E3C">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一芽二叶初展≥50%，芽二叶≤50%</w:t>
            </w:r>
          </w:p>
        </w:tc>
        <w:tc>
          <w:tcPr>
            <w:tcW w:w="2477" w:type="dxa"/>
            <w:tcBorders>
              <w:top w:val="single" w:color="000000" w:sz="4" w:space="0"/>
              <w:left w:val="single" w:color="000000" w:sz="4" w:space="0"/>
              <w:bottom w:val="single" w:color="000000" w:sz="4" w:space="0"/>
              <w:right w:val="single" w:color="000000" w:sz="4" w:space="0"/>
            </w:tcBorders>
          </w:tcPr>
          <w:p w14:paraId="10A4F9C8">
            <w:pPr>
              <w:widowControl/>
              <w:autoSpaceDE w:val="0"/>
              <w:jc w:val="center"/>
              <w:outlineLvl w:val="3"/>
              <w:rPr>
                <w:rFonts w:asciiTheme="minorEastAsia" w:hAnsiTheme="minorEastAsia" w:eastAsiaTheme="minorEastAsia"/>
                <w:kern w:val="0"/>
                <w:sz w:val="18"/>
                <w:szCs w:val="18"/>
              </w:rPr>
            </w:pPr>
            <w:r>
              <w:rPr>
                <w:rFonts w:hint="eastAsia" w:asciiTheme="minorEastAsia" w:hAnsiTheme="minorEastAsia" w:eastAsiaTheme="minorEastAsia"/>
                <w:kern w:val="0"/>
                <w:sz w:val="18"/>
                <w:szCs w:val="18"/>
              </w:rPr>
              <w:t>一芽二叶≥60%，</w:t>
            </w:r>
          </w:p>
          <w:p w14:paraId="19675BE3">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一芽三叶、对夹叶≤</w:t>
            </w:r>
            <w:r>
              <w:rPr>
                <w:rFonts w:asciiTheme="minorEastAsia" w:hAnsiTheme="minorEastAsia" w:eastAsiaTheme="minorEastAsia"/>
                <w:kern w:val="0"/>
                <w:sz w:val="18"/>
                <w:szCs w:val="18"/>
              </w:rPr>
              <w:t>4</w:t>
            </w:r>
            <w:r>
              <w:rPr>
                <w:rFonts w:hint="eastAsia" w:asciiTheme="minorEastAsia" w:hAnsiTheme="minorEastAsia" w:eastAsiaTheme="minorEastAsia"/>
                <w:kern w:val="0"/>
                <w:sz w:val="18"/>
                <w:szCs w:val="18"/>
              </w:rPr>
              <w:t>0%</w:t>
            </w:r>
          </w:p>
        </w:tc>
      </w:tr>
      <w:tr w14:paraId="579B1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Borders>
              <w:top w:val="single" w:color="000000" w:sz="4" w:space="0"/>
              <w:left w:val="single" w:color="000000" w:sz="4" w:space="0"/>
              <w:bottom w:val="single" w:color="000000" w:sz="4" w:space="0"/>
              <w:right w:val="single" w:color="000000" w:sz="4" w:space="0"/>
            </w:tcBorders>
          </w:tcPr>
          <w:p w14:paraId="14955A09">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 xml:space="preserve">净 </w:t>
            </w:r>
            <w:r>
              <w:rPr>
                <w:rFonts w:asciiTheme="minorEastAsia" w:hAnsiTheme="minorEastAsia" w:eastAsiaTheme="minorEastAsia"/>
                <w:kern w:val="0"/>
                <w:sz w:val="18"/>
                <w:szCs w:val="18"/>
              </w:rPr>
              <w:t xml:space="preserve"> </w:t>
            </w:r>
            <w:r>
              <w:rPr>
                <w:rFonts w:hint="eastAsia" w:asciiTheme="minorEastAsia" w:hAnsiTheme="minorEastAsia" w:eastAsiaTheme="minorEastAsia"/>
                <w:kern w:val="0"/>
                <w:sz w:val="18"/>
                <w:szCs w:val="18"/>
              </w:rPr>
              <w:t>度</w:t>
            </w:r>
          </w:p>
        </w:tc>
        <w:tc>
          <w:tcPr>
            <w:tcW w:w="7230" w:type="dxa"/>
            <w:gridSpan w:val="3"/>
            <w:tcBorders>
              <w:top w:val="single" w:color="000000" w:sz="4" w:space="0"/>
              <w:left w:val="single" w:color="000000" w:sz="4" w:space="0"/>
              <w:bottom w:val="single" w:color="000000" w:sz="4" w:space="0"/>
              <w:right w:val="single" w:color="000000" w:sz="4" w:space="0"/>
            </w:tcBorders>
          </w:tcPr>
          <w:p w14:paraId="40CBFA39">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鲜叶不得有鱼叶、单片叶、老梗、老片及非茶夹杂物</w:t>
            </w:r>
          </w:p>
        </w:tc>
      </w:tr>
      <w:tr w14:paraId="20371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601" w:type="dxa"/>
            <w:tcBorders>
              <w:top w:val="single" w:color="000000" w:sz="4" w:space="0"/>
              <w:left w:val="single" w:color="000000" w:sz="4" w:space="0"/>
              <w:bottom w:val="single" w:color="000000" w:sz="4" w:space="0"/>
              <w:right w:val="single" w:color="000000" w:sz="4" w:space="0"/>
            </w:tcBorders>
          </w:tcPr>
          <w:p w14:paraId="73799D1C">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新鲜度</w:t>
            </w:r>
          </w:p>
        </w:tc>
        <w:tc>
          <w:tcPr>
            <w:tcW w:w="7230" w:type="dxa"/>
            <w:gridSpan w:val="3"/>
            <w:tcBorders>
              <w:top w:val="single" w:color="000000" w:sz="4" w:space="0"/>
              <w:left w:val="single" w:color="000000" w:sz="4" w:space="0"/>
              <w:bottom w:val="single" w:color="000000" w:sz="4" w:space="0"/>
              <w:right w:val="single" w:color="000000" w:sz="4" w:space="0"/>
            </w:tcBorders>
          </w:tcPr>
          <w:p w14:paraId="35D07A93">
            <w:pPr>
              <w:widowControl/>
              <w:autoSpaceDE w:val="0"/>
              <w:jc w:val="center"/>
              <w:outlineLvl w:val="3"/>
              <w:rPr>
                <w:rFonts w:asciiTheme="minorEastAsia" w:hAnsiTheme="minorEastAsia" w:eastAsiaTheme="minorEastAsia"/>
                <w:b/>
                <w:kern w:val="0"/>
                <w:sz w:val="18"/>
                <w:szCs w:val="18"/>
              </w:rPr>
            </w:pPr>
            <w:r>
              <w:rPr>
                <w:rFonts w:hint="eastAsia" w:asciiTheme="minorEastAsia" w:hAnsiTheme="minorEastAsia" w:eastAsiaTheme="minorEastAsia"/>
                <w:kern w:val="0"/>
                <w:sz w:val="18"/>
                <w:szCs w:val="18"/>
              </w:rPr>
              <w:t>鲜叶鲜活，无病变叶、虫伤叶、紫色芽叶、红梗红叶及机械损伤叶</w:t>
            </w:r>
          </w:p>
        </w:tc>
      </w:tr>
    </w:tbl>
    <w:p w14:paraId="2AEBA3FA">
      <w:pPr>
        <w:pStyle w:val="21"/>
        <w:ind w:firstLine="0" w:firstLineChars="0"/>
        <w:rPr>
          <w:rFonts w:ascii="Times New Roman"/>
        </w:rPr>
      </w:pPr>
    </w:p>
    <w:p w14:paraId="64DD1AF9">
      <w:pPr>
        <w:pStyle w:val="38"/>
        <w:spacing w:before="156" w:after="156"/>
        <w:rPr>
          <w:rFonts w:ascii="Times New Roman"/>
        </w:rPr>
      </w:pPr>
      <w:r>
        <w:rPr>
          <w:rFonts w:hint="eastAsia" w:ascii="Times New Roman"/>
        </w:rPr>
        <w:t>加工工艺</w:t>
      </w:r>
    </w:p>
    <w:p w14:paraId="6F3CDC9F">
      <w:pPr>
        <w:pStyle w:val="59"/>
        <w:numPr>
          <w:ilvl w:val="0"/>
          <w:numId w:val="0"/>
        </w:numPr>
        <w:ind w:left="426"/>
        <w:rPr>
          <w:rFonts w:ascii="Times New Roman"/>
        </w:rPr>
      </w:pPr>
      <w:r>
        <w:rPr>
          <w:rFonts w:hint="eastAsia" w:ascii="Times New Roman"/>
        </w:rPr>
        <w:t>鲜叶</w:t>
      </w:r>
      <w:r>
        <w:rPr>
          <w:rFonts w:hint="eastAsia" w:hAnsi="宋体"/>
        </w:rPr>
        <w:t>→摊青→杀青→摊</w:t>
      </w:r>
      <w:r>
        <w:rPr>
          <w:rFonts w:hint="eastAsia"/>
        </w:rPr>
        <w:t>晾</w:t>
      </w:r>
      <w:r>
        <w:rPr>
          <w:rFonts w:hint="eastAsia" w:hAnsi="宋体"/>
        </w:rPr>
        <w:t>→揉捻→解块→</w:t>
      </w:r>
      <w:r>
        <w:rPr>
          <w:rFonts w:hint="eastAsia" w:ascii="Times New Roman"/>
        </w:rPr>
        <w:t>初烘→复烘→提香→</w:t>
      </w:r>
      <w:r>
        <w:rPr>
          <w:rFonts w:hint="eastAsia" w:hAnsi="宋体"/>
        </w:rPr>
        <w:t>审评定级→分装。</w:t>
      </w:r>
    </w:p>
    <w:p w14:paraId="4B1E65BD">
      <w:pPr>
        <w:pStyle w:val="21"/>
        <w:rPr>
          <w:rFonts w:hint="eastAsia" w:ascii="Times New Roman"/>
        </w:rPr>
      </w:pPr>
    </w:p>
    <w:p w14:paraId="2EDEA54F">
      <w:pPr>
        <w:pStyle w:val="41"/>
        <w:spacing w:before="312" w:after="312"/>
        <w:rPr>
          <w:rFonts w:ascii="Times New Roman"/>
        </w:rPr>
      </w:pPr>
      <w:bookmarkStart w:id="30" w:name="_Toc152964054"/>
      <w:r>
        <w:rPr>
          <w:rFonts w:hint="eastAsia" w:ascii="Times New Roman"/>
          <w:lang w:val="en-US" w:eastAsia="zh-CN"/>
        </w:rPr>
        <w:t>品质</w:t>
      </w:r>
      <w:r>
        <w:rPr>
          <w:rFonts w:hint="eastAsia" w:ascii="Times New Roman"/>
        </w:rPr>
        <w:t>要求</w:t>
      </w:r>
      <w:bookmarkEnd w:id="30"/>
    </w:p>
    <w:p w14:paraId="20E35266">
      <w:pPr>
        <w:pStyle w:val="38"/>
        <w:spacing w:before="156" w:after="156"/>
        <w:rPr>
          <w:rFonts w:ascii="Times New Roman"/>
        </w:rPr>
      </w:pPr>
      <w:r>
        <w:rPr>
          <w:rFonts w:hint="eastAsia" w:ascii="Times New Roman"/>
        </w:rPr>
        <w:t>感官品质</w:t>
      </w:r>
    </w:p>
    <w:p w14:paraId="180C333E">
      <w:pPr>
        <w:pStyle w:val="42"/>
        <w:spacing w:before="156" w:after="156"/>
        <w:rPr>
          <w:rFonts w:ascii="Times New Roman"/>
        </w:rPr>
      </w:pPr>
      <w:r>
        <w:rPr>
          <w:rFonts w:hint="eastAsia" w:ascii="Times New Roman"/>
        </w:rPr>
        <w:t>基本要求</w:t>
      </w:r>
    </w:p>
    <w:p w14:paraId="470E8424">
      <w:pPr>
        <w:pStyle w:val="21"/>
        <w:rPr>
          <w:rFonts w:ascii="Times New Roman"/>
        </w:rPr>
      </w:pPr>
      <w:r>
        <w:rPr>
          <w:rFonts w:hint="eastAsia" w:ascii="Times New Roman"/>
        </w:rPr>
        <w:t>具有该茶类应有的品质，无劣变，无异味，不得含有非茶类夹杂物，不得使用添加剂。</w:t>
      </w:r>
    </w:p>
    <w:p w14:paraId="2A904DE5">
      <w:pPr>
        <w:pStyle w:val="42"/>
        <w:spacing w:before="156" w:after="156"/>
        <w:rPr>
          <w:rFonts w:ascii="Times New Roman"/>
        </w:rPr>
      </w:pPr>
      <w:r>
        <w:rPr>
          <w:rFonts w:hint="eastAsia" w:ascii="Times New Roman"/>
        </w:rPr>
        <w:t xml:space="preserve">感官指标 </w:t>
      </w:r>
    </w:p>
    <w:p w14:paraId="7E7E5CC6">
      <w:pPr>
        <w:pStyle w:val="21"/>
        <w:rPr>
          <w:rFonts w:ascii="Times New Roman"/>
        </w:rPr>
      </w:pPr>
      <w:r>
        <w:rPr>
          <w:rFonts w:hint="eastAsia" w:ascii="Times New Roman"/>
        </w:rPr>
        <w:t xml:space="preserve">各等级霄坑绿茶的感官指标应符合表 </w:t>
      </w:r>
      <w:r>
        <w:rPr>
          <w:rFonts w:ascii="Times New Roman"/>
        </w:rPr>
        <w:t>2</w:t>
      </w:r>
      <w:r>
        <w:rPr>
          <w:rFonts w:hint="eastAsia" w:ascii="Times New Roman"/>
        </w:rPr>
        <w:t xml:space="preserve"> 的规定。</w:t>
      </w:r>
    </w:p>
    <w:p w14:paraId="25FCAEDA">
      <w:pPr>
        <w:pStyle w:val="21"/>
        <w:jc w:val="center"/>
        <w:rPr>
          <w:rFonts w:ascii="黑体" w:hAnsi="黑体" w:eastAsia="黑体"/>
        </w:rPr>
      </w:pPr>
      <w:r>
        <w:rPr>
          <w:rFonts w:hint="eastAsia" w:ascii="黑体" w:hAnsi="黑体" w:eastAsia="黑体"/>
        </w:rPr>
        <w:t>表 2</w:t>
      </w:r>
      <w:r>
        <w:rPr>
          <w:rFonts w:ascii="黑体" w:hAnsi="黑体" w:eastAsia="黑体"/>
        </w:rPr>
        <w:t xml:space="preserve">  </w:t>
      </w:r>
      <w:r>
        <w:rPr>
          <w:rFonts w:hint="eastAsia" w:ascii="黑体" w:hAnsi="黑体" w:eastAsia="黑体"/>
        </w:rPr>
        <w:t>霄坑绿茶感官指标</w:t>
      </w:r>
    </w:p>
    <w:tbl>
      <w:tblPr>
        <w:tblStyle w:val="13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525"/>
        <w:gridCol w:w="1175"/>
        <w:gridCol w:w="1713"/>
        <w:gridCol w:w="1501"/>
        <w:gridCol w:w="1424"/>
      </w:tblGrid>
      <w:tr w14:paraId="0F8C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78" w:type="dxa"/>
            <w:vMerge w:val="restart"/>
            <w:tcBorders>
              <w:top w:val="single" w:color="auto" w:sz="4" w:space="0"/>
              <w:left w:val="single" w:color="auto" w:sz="4" w:space="0"/>
              <w:bottom w:val="single" w:color="auto" w:sz="4" w:space="0"/>
              <w:right w:val="single" w:color="auto" w:sz="4" w:space="0"/>
            </w:tcBorders>
            <w:vAlign w:val="center"/>
          </w:tcPr>
          <w:p w14:paraId="77D1EBD0">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级别</w:t>
            </w:r>
          </w:p>
        </w:tc>
        <w:tc>
          <w:tcPr>
            <w:tcW w:w="2525" w:type="dxa"/>
            <w:vMerge w:val="restart"/>
            <w:tcBorders>
              <w:top w:val="single" w:color="auto" w:sz="4" w:space="0"/>
              <w:left w:val="single" w:color="auto" w:sz="4" w:space="0"/>
              <w:bottom w:val="single" w:color="auto" w:sz="4" w:space="0"/>
              <w:right w:val="single" w:color="auto" w:sz="4" w:space="0"/>
            </w:tcBorders>
            <w:vAlign w:val="center"/>
          </w:tcPr>
          <w:p w14:paraId="1238D82C">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外    形</w:t>
            </w:r>
          </w:p>
        </w:tc>
        <w:tc>
          <w:tcPr>
            <w:tcW w:w="5813" w:type="dxa"/>
            <w:gridSpan w:val="4"/>
            <w:tcBorders>
              <w:top w:val="single" w:color="auto" w:sz="4" w:space="0"/>
              <w:left w:val="single" w:color="auto" w:sz="4" w:space="0"/>
              <w:bottom w:val="single" w:color="auto" w:sz="4" w:space="0"/>
              <w:right w:val="single" w:color="auto" w:sz="4" w:space="0"/>
            </w:tcBorders>
            <w:vAlign w:val="center"/>
          </w:tcPr>
          <w:p w14:paraId="60E00B57">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内     质</w:t>
            </w:r>
          </w:p>
        </w:tc>
      </w:tr>
      <w:tr w14:paraId="36AB7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EFE1C88">
            <w:pPr>
              <w:widowControl/>
              <w:jc w:val="left"/>
              <w:rPr>
                <w:rFonts w:ascii="Times New Roman" w:hAnsi="Times New Roman" w:eastAsia="宋体"/>
                <w:kern w:val="0"/>
                <w:sz w:val="18"/>
                <w:szCs w:val="18"/>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FD3811D">
            <w:pPr>
              <w:widowControl/>
              <w:jc w:val="left"/>
              <w:rPr>
                <w:rFonts w:ascii="Times New Roman" w:hAnsi="Times New Roman" w:eastAsia="宋体"/>
                <w:kern w:val="0"/>
                <w:sz w:val="18"/>
                <w:szCs w:val="18"/>
              </w:rPr>
            </w:pPr>
          </w:p>
        </w:tc>
        <w:tc>
          <w:tcPr>
            <w:tcW w:w="1175" w:type="dxa"/>
            <w:tcBorders>
              <w:top w:val="single" w:color="auto" w:sz="4" w:space="0"/>
              <w:left w:val="single" w:color="auto" w:sz="4" w:space="0"/>
              <w:bottom w:val="single" w:color="auto" w:sz="4" w:space="0"/>
              <w:right w:val="single" w:color="auto" w:sz="4" w:space="0"/>
            </w:tcBorders>
            <w:vAlign w:val="center"/>
          </w:tcPr>
          <w:p w14:paraId="4CDAFCF0">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汤色</w:t>
            </w:r>
          </w:p>
        </w:tc>
        <w:tc>
          <w:tcPr>
            <w:tcW w:w="1713" w:type="dxa"/>
            <w:tcBorders>
              <w:top w:val="single" w:color="auto" w:sz="4" w:space="0"/>
              <w:left w:val="single" w:color="auto" w:sz="4" w:space="0"/>
              <w:bottom w:val="single" w:color="auto" w:sz="4" w:space="0"/>
              <w:right w:val="single" w:color="auto" w:sz="4" w:space="0"/>
            </w:tcBorders>
            <w:vAlign w:val="center"/>
          </w:tcPr>
          <w:p w14:paraId="5524751D">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香气</w:t>
            </w:r>
          </w:p>
        </w:tc>
        <w:tc>
          <w:tcPr>
            <w:tcW w:w="1501" w:type="dxa"/>
            <w:tcBorders>
              <w:top w:val="single" w:color="auto" w:sz="4" w:space="0"/>
              <w:left w:val="single" w:color="auto" w:sz="4" w:space="0"/>
              <w:bottom w:val="single" w:color="auto" w:sz="4" w:space="0"/>
              <w:right w:val="single" w:color="auto" w:sz="4" w:space="0"/>
            </w:tcBorders>
            <w:vAlign w:val="center"/>
          </w:tcPr>
          <w:p w14:paraId="62056913">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滋味</w:t>
            </w:r>
          </w:p>
        </w:tc>
        <w:tc>
          <w:tcPr>
            <w:tcW w:w="1424" w:type="dxa"/>
            <w:tcBorders>
              <w:top w:val="single" w:color="auto" w:sz="4" w:space="0"/>
              <w:left w:val="single" w:color="auto" w:sz="4" w:space="0"/>
              <w:bottom w:val="single" w:color="auto" w:sz="4" w:space="0"/>
              <w:right w:val="single" w:color="auto" w:sz="4" w:space="0"/>
            </w:tcBorders>
            <w:vAlign w:val="center"/>
          </w:tcPr>
          <w:p w14:paraId="5566057F">
            <w:pPr>
              <w:widowControl/>
              <w:jc w:val="center"/>
              <w:rPr>
                <w:rFonts w:ascii="Times New Roman" w:hAnsi="Times New Roman" w:eastAsia="宋体"/>
                <w:kern w:val="0"/>
                <w:sz w:val="18"/>
                <w:szCs w:val="18"/>
              </w:rPr>
            </w:pPr>
            <w:r>
              <w:rPr>
                <w:rFonts w:hint="eastAsia" w:ascii="Times New Roman" w:hAnsi="Times New Roman" w:eastAsia="宋体"/>
                <w:kern w:val="0"/>
                <w:sz w:val="18"/>
                <w:szCs w:val="18"/>
              </w:rPr>
              <w:t>叶底</w:t>
            </w:r>
          </w:p>
        </w:tc>
      </w:tr>
      <w:tr w14:paraId="02A8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725A8F7E">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特一级</w:t>
            </w:r>
          </w:p>
        </w:tc>
        <w:tc>
          <w:tcPr>
            <w:tcW w:w="2525" w:type="dxa"/>
            <w:tcBorders>
              <w:top w:val="single" w:color="auto" w:sz="4" w:space="0"/>
              <w:left w:val="single" w:color="auto" w:sz="4" w:space="0"/>
              <w:bottom w:val="single" w:color="auto" w:sz="4" w:space="0"/>
              <w:right w:val="single" w:color="auto" w:sz="4" w:space="0"/>
            </w:tcBorders>
            <w:vAlign w:val="center"/>
          </w:tcPr>
          <w:p w14:paraId="3CD0AA83">
            <w:pPr>
              <w:widowControl/>
              <w:jc w:val="left"/>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紧细、锋苗显露，显毫，嫩黄绿，匀净</w:t>
            </w:r>
          </w:p>
        </w:tc>
        <w:tc>
          <w:tcPr>
            <w:tcW w:w="1175" w:type="dxa"/>
            <w:tcBorders>
              <w:top w:val="single" w:color="auto" w:sz="4" w:space="0"/>
              <w:left w:val="single" w:color="auto" w:sz="4" w:space="0"/>
              <w:bottom w:val="single" w:color="auto" w:sz="4" w:space="0"/>
              <w:right w:val="single" w:color="auto" w:sz="4" w:space="0"/>
            </w:tcBorders>
            <w:vAlign w:val="center"/>
          </w:tcPr>
          <w:p w14:paraId="5CC63BD4">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碧绿清亮</w:t>
            </w:r>
          </w:p>
        </w:tc>
        <w:tc>
          <w:tcPr>
            <w:tcW w:w="1713" w:type="dxa"/>
            <w:tcBorders>
              <w:top w:val="single" w:color="auto" w:sz="4" w:space="0"/>
              <w:left w:val="single" w:color="auto" w:sz="4" w:space="0"/>
              <w:bottom w:val="single" w:color="auto" w:sz="4" w:space="0"/>
              <w:right w:val="single" w:color="auto" w:sz="4" w:space="0"/>
            </w:tcBorders>
            <w:vAlign w:val="center"/>
          </w:tcPr>
          <w:p w14:paraId="75EE4613">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嫩</w:t>
            </w:r>
            <w:r>
              <w:rPr>
                <w:rFonts w:hint="eastAsia"/>
                <w:color w:val="auto"/>
                <w:kern w:val="0"/>
                <w:sz w:val="18"/>
                <w:szCs w:val="18"/>
                <w:lang w:val="en-US" w:eastAsia="zh-CN"/>
              </w:rPr>
              <w:t>清</w:t>
            </w:r>
            <w:r>
              <w:rPr>
                <w:rFonts w:hint="eastAsia" w:ascii="Times New Roman" w:hAnsi="Times New Roman" w:eastAsia="宋体"/>
                <w:color w:val="auto"/>
                <w:kern w:val="0"/>
                <w:sz w:val="18"/>
                <w:szCs w:val="18"/>
              </w:rPr>
              <w:t>香带花香</w:t>
            </w:r>
          </w:p>
        </w:tc>
        <w:tc>
          <w:tcPr>
            <w:tcW w:w="1501" w:type="dxa"/>
            <w:tcBorders>
              <w:top w:val="single" w:color="auto" w:sz="4" w:space="0"/>
              <w:left w:val="single" w:color="auto" w:sz="4" w:space="0"/>
              <w:bottom w:val="single" w:color="auto" w:sz="4" w:space="0"/>
              <w:right w:val="single" w:color="auto" w:sz="4" w:space="0"/>
            </w:tcBorders>
            <w:vAlign w:val="center"/>
          </w:tcPr>
          <w:p w14:paraId="21FA0E98">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鲜醇</w:t>
            </w:r>
          </w:p>
        </w:tc>
        <w:tc>
          <w:tcPr>
            <w:tcW w:w="1424" w:type="dxa"/>
            <w:tcBorders>
              <w:top w:val="single" w:color="auto" w:sz="4" w:space="0"/>
              <w:left w:val="single" w:color="auto" w:sz="4" w:space="0"/>
              <w:bottom w:val="single" w:color="auto" w:sz="4" w:space="0"/>
              <w:right w:val="single" w:color="auto" w:sz="4" w:space="0"/>
            </w:tcBorders>
            <w:vAlign w:val="center"/>
          </w:tcPr>
          <w:p w14:paraId="054988CF">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细嫩多芽，嫩黄绿匀亮</w:t>
            </w:r>
          </w:p>
        </w:tc>
      </w:tr>
      <w:tr w14:paraId="4358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6305100D">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特二级</w:t>
            </w:r>
          </w:p>
        </w:tc>
        <w:tc>
          <w:tcPr>
            <w:tcW w:w="2525" w:type="dxa"/>
            <w:tcBorders>
              <w:top w:val="single" w:color="auto" w:sz="4" w:space="0"/>
              <w:left w:val="single" w:color="auto" w:sz="4" w:space="0"/>
              <w:bottom w:val="single" w:color="auto" w:sz="4" w:space="0"/>
              <w:right w:val="single" w:color="auto" w:sz="4" w:space="0"/>
            </w:tcBorders>
            <w:vAlign w:val="center"/>
          </w:tcPr>
          <w:p w14:paraId="5FFBF015">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紧细、锋苗显露，有白毫，</w:t>
            </w:r>
          </w:p>
          <w:p w14:paraId="6EBD0CE5">
            <w:pPr>
              <w:widowControl/>
              <w:jc w:val="left"/>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翠绿鲜润，匀净</w:t>
            </w:r>
          </w:p>
        </w:tc>
        <w:tc>
          <w:tcPr>
            <w:tcW w:w="1175" w:type="dxa"/>
            <w:tcBorders>
              <w:top w:val="single" w:color="auto" w:sz="4" w:space="0"/>
              <w:left w:val="single" w:color="auto" w:sz="4" w:space="0"/>
              <w:bottom w:val="single" w:color="auto" w:sz="4" w:space="0"/>
              <w:right w:val="single" w:color="auto" w:sz="4" w:space="0"/>
            </w:tcBorders>
            <w:vAlign w:val="center"/>
          </w:tcPr>
          <w:p w14:paraId="0243A75C">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碧绿清亮</w:t>
            </w:r>
          </w:p>
        </w:tc>
        <w:tc>
          <w:tcPr>
            <w:tcW w:w="1713" w:type="dxa"/>
            <w:tcBorders>
              <w:top w:val="single" w:color="auto" w:sz="4" w:space="0"/>
              <w:left w:val="single" w:color="auto" w:sz="4" w:space="0"/>
              <w:bottom w:val="single" w:color="auto" w:sz="4" w:space="0"/>
              <w:right w:val="single" w:color="auto" w:sz="4" w:space="0"/>
            </w:tcBorders>
            <w:vAlign w:val="center"/>
          </w:tcPr>
          <w:p w14:paraId="0A58484F">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嫩栗香带花香</w:t>
            </w:r>
          </w:p>
        </w:tc>
        <w:tc>
          <w:tcPr>
            <w:tcW w:w="1501" w:type="dxa"/>
            <w:tcBorders>
              <w:top w:val="single" w:color="auto" w:sz="4" w:space="0"/>
              <w:left w:val="single" w:color="auto" w:sz="4" w:space="0"/>
              <w:bottom w:val="single" w:color="auto" w:sz="4" w:space="0"/>
              <w:right w:val="single" w:color="auto" w:sz="4" w:space="0"/>
            </w:tcBorders>
            <w:vAlign w:val="center"/>
          </w:tcPr>
          <w:p w14:paraId="1702142A">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鲜嫩醇厚</w:t>
            </w:r>
          </w:p>
        </w:tc>
        <w:tc>
          <w:tcPr>
            <w:tcW w:w="1424" w:type="dxa"/>
            <w:tcBorders>
              <w:top w:val="single" w:color="auto" w:sz="4" w:space="0"/>
              <w:left w:val="single" w:color="auto" w:sz="4" w:space="0"/>
              <w:bottom w:val="single" w:color="auto" w:sz="4" w:space="0"/>
              <w:right w:val="single" w:color="auto" w:sz="4" w:space="0"/>
            </w:tcBorders>
            <w:vAlign w:val="center"/>
          </w:tcPr>
          <w:p w14:paraId="5A8F69DD">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细嫩多芽</w:t>
            </w:r>
          </w:p>
          <w:p w14:paraId="3AD09E29">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绿匀亮</w:t>
            </w:r>
          </w:p>
        </w:tc>
      </w:tr>
      <w:tr w14:paraId="4620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59C65F0C">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一级</w:t>
            </w:r>
          </w:p>
        </w:tc>
        <w:tc>
          <w:tcPr>
            <w:tcW w:w="2525" w:type="dxa"/>
            <w:tcBorders>
              <w:top w:val="single" w:color="auto" w:sz="4" w:space="0"/>
              <w:left w:val="single" w:color="auto" w:sz="4" w:space="0"/>
              <w:bottom w:val="single" w:color="auto" w:sz="4" w:space="0"/>
              <w:right w:val="single" w:color="auto" w:sz="4" w:space="0"/>
            </w:tcBorders>
            <w:vAlign w:val="center"/>
          </w:tcPr>
          <w:p w14:paraId="6A6A6384">
            <w:pPr>
              <w:widowControl/>
              <w:jc w:val="left"/>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紧细、锋苗较显，有白毫，深绿较润，较匀净</w:t>
            </w:r>
          </w:p>
        </w:tc>
        <w:tc>
          <w:tcPr>
            <w:tcW w:w="1175" w:type="dxa"/>
            <w:tcBorders>
              <w:top w:val="single" w:color="auto" w:sz="4" w:space="0"/>
              <w:left w:val="single" w:color="auto" w:sz="4" w:space="0"/>
              <w:bottom w:val="single" w:color="auto" w:sz="4" w:space="0"/>
              <w:right w:val="single" w:color="auto" w:sz="4" w:space="0"/>
            </w:tcBorders>
            <w:vAlign w:val="center"/>
          </w:tcPr>
          <w:p w14:paraId="2E51418C">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绿亮</w:t>
            </w:r>
          </w:p>
        </w:tc>
        <w:tc>
          <w:tcPr>
            <w:tcW w:w="1713" w:type="dxa"/>
            <w:tcBorders>
              <w:top w:val="single" w:color="auto" w:sz="4" w:space="0"/>
              <w:left w:val="single" w:color="auto" w:sz="4" w:space="0"/>
              <w:bottom w:val="single" w:color="auto" w:sz="4" w:space="0"/>
              <w:right w:val="single" w:color="auto" w:sz="4" w:space="0"/>
            </w:tcBorders>
            <w:vAlign w:val="center"/>
          </w:tcPr>
          <w:p w14:paraId="73FC62E4">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栗香带花香</w:t>
            </w:r>
          </w:p>
        </w:tc>
        <w:tc>
          <w:tcPr>
            <w:tcW w:w="1501" w:type="dxa"/>
            <w:tcBorders>
              <w:top w:val="single" w:color="auto" w:sz="4" w:space="0"/>
              <w:left w:val="single" w:color="auto" w:sz="4" w:space="0"/>
              <w:bottom w:val="single" w:color="auto" w:sz="4" w:space="0"/>
              <w:right w:val="single" w:color="auto" w:sz="4" w:space="0"/>
            </w:tcBorders>
            <w:vAlign w:val="center"/>
          </w:tcPr>
          <w:p w14:paraId="2E68FDB9">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醇厚较鲜</w:t>
            </w:r>
          </w:p>
        </w:tc>
        <w:tc>
          <w:tcPr>
            <w:tcW w:w="1424" w:type="dxa"/>
            <w:tcBorders>
              <w:top w:val="single" w:color="auto" w:sz="4" w:space="0"/>
              <w:left w:val="single" w:color="auto" w:sz="4" w:space="0"/>
              <w:bottom w:val="single" w:color="auto" w:sz="4" w:space="0"/>
              <w:right w:val="single" w:color="auto" w:sz="4" w:space="0"/>
            </w:tcBorders>
            <w:vAlign w:val="center"/>
          </w:tcPr>
          <w:p w14:paraId="71A6638D">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芽叶软嫩</w:t>
            </w:r>
          </w:p>
          <w:p w14:paraId="775D1A0A">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绿亮较匀</w:t>
            </w:r>
          </w:p>
        </w:tc>
      </w:tr>
      <w:tr w14:paraId="2CC2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4FED1DAB">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二级</w:t>
            </w:r>
          </w:p>
        </w:tc>
        <w:tc>
          <w:tcPr>
            <w:tcW w:w="2525" w:type="dxa"/>
            <w:tcBorders>
              <w:top w:val="single" w:color="auto" w:sz="4" w:space="0"/>
              <w:left w:val="single" w:color="auto" w:sz="4" w:space="0"/>
              <w:bottom w:val="single" w:color="auto" w:sz="4" w:space="0"/>
              <w:right w:val="single" w:color="auto" w:sz="4" w:space="0"/>
            </w:tcBorders>
            <w:vAlign w:val="center"/>
          </w:tcPr>
          <w:p w14:paraId="2EEB8E9D">
            <w:pPr>
              <w:widowControl/>
              <w:jc w:val="left"/>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紧结、有锋苗，深绿尚润，较匀带片</w:t>
            </w:r>
          </w:p>
        </w:tc>
        <w:tc>
          <w:tcPr>
            <w:tcW w:w="1175" w:type="dxa"/>
            <w:tcBorders>
              <w:top w:val="single" w:color="auto" w:sz="4" w:space="0"/>
              <w:left w:val="single" w:color="auto" w:sz="4" w:space="0"/>
              <w:bottom w:val="single" w:color="auto" w:sz="4" w:space="0"/>
              <w:right w:val="single" w:color="auto" w:sz="4" w:space="0"/>
            </w:tcBorders>
            <w:vAlign w:val="center"/>
          </w:tcPr>
          <w:p w14:paraId="4CE720B4">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黄绿亮</w:t>
            </w:r>
          </w:p>
        </w:tc>
        <w:tc>
          <w:tcPr>
            <w:tcW w:w="1713" w:type="dxa"/>
            <w:tcBorders>
              <w:top w:val="single" w:color="auto" w:sz="4" w:space="0"/>
              <w:left w:val="single" w:color="auto" w:sz="4" w:space="0"/>
              <w:bottom w:val="single" w:color="auto" w:sz="4" w:space="0"/>
              <w:right w:val="single" w:color="auto" w:sz="4" w:space="0"/>
            </w:tcBorders>
            <w:vAlign w:val="center"/>
          </w:tcPr>
          <w:p w14:paraId="75CD72C0">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清香</w:t>
            </w:r>
          </w:p>
        </w:tc>
        <w:tc>
          <w:tcPr>
            <w:tcW w:w="1501" w:type="dxa"/>
            <w:tcBorders>
              <w:top w:val="single" w:color="auto" w:sz="4" w:space="0"/>
              <w:left w:val="single" w:color="auto" w:sz="4" w:space="0"/>
              <w:bottom w:val="single" w:color="auto" w:sz="4" w:space="0"/>
              <w:right w:val="single" w:color="auto" w:sz="4" w:space="0"/>
            </w:tcBorders>
            <w:vAlign w:val="center"/>
          </w:tcPr>
          <w:p w14:paraId="3938E712">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醇厚</w:t>
            </w:r>
          </w:p>
        </w:tc>
        <w:tc>
          <w:tcPr>
            <w:tcW w:w="1424" w:type="dxa"/>
            <w:tcBorders>
              <w:top w:val="single" w:color="auto" w:sz="4" w:space="0"/>
              <w:left w:val="single" w:color="auto" w:sz="4" w:space="0"/>
              <w:bottom w:val="single" w:color="auto" w:sz="4" w:space="0"/>
              <w:right w:val="single" w:color="auto" w:sz="4" w:space="0"/>
            </w:tcBorders>
            <w:vAlign w:val="center"/>
          </w:tcPr>
          <w:p w14:paraId="09D4E8B1">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茎叶柔软</w:t>
            </w:r>
          </w:p>
          <w:p w14:paraId="66695CCF">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绿亮较匀</w:t>
            </w:r>
          </w:p>
        </w:tc>
      </w:tr>
      <w:tr w14:paraId="0AB1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7700D730">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三级</w:t>
            </w:r>
          </w:p>
        </w:tc>
        <w:tc>
          <w:tcPr>
            <w:tcW w:w="2525" w:type="dxa"/>
            <w:tcBorders>
              <w:top w:val="single" w:color="auto" w:sz="4" w:space="0"/>
              <w:left w:val="single" w:color="auto" w:sz="4" w:space="0"/>
              <w:bottom w:val="single" w:color="auto" w:sz="4" w:space="0"/>
              <w:right w:val="single" w:color="auto" w:sz="4" w:space="0"/>
            </w:tcBorders>
            <w:vAlign w:val="center"/>
          </w:tcPr>
          <w:p w14:paraId="4AE3C3FB">
            <w:pPr>
              <w:widowControl/>
              <w:jc w:val="left"/>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尚紧，绿，欠匀，多老叶</w:t>
            </w:r>
          </w:p>
        </w:tc>
        <w:tc>
          <w:tcPr>
            <w:tcW w:w="1175" w:type="dxa"/>
            <w:tcBorders>
              <w:top w:val="single" w:color="auto" w:sz="4" w:space="0"/>
              <w:left w:val="single" w:color="auto" w:sz="4" w:space="0"/>
              <w:bottom w:val="single" w:color="auto" w:sz="4" w:space="0"/>
              <w:right w:val="single" w:color="auto" w:sz="4" w:space="0"/>
            </w:tcBorders>
            <w:vAlign w:val="center"/>
          </w:tcPr>
          <w:p w14:paraId="27990FC2">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黄绿亮</w:t>
            </w:r>
          </w:p>
        </w:tc>
        <w:tc>
          <w:tcPr>
            <w:tcW w:w="1713" w:type="dxa"/>
            <w:tcBorders>
              <w:top w:val="single" w:color="auto" w:sz="4" w:space="0"/>
              <w:left w:val="single" w:color="auto" w:sz="4" w:space="0"/>
              <w:bottom w:val="single" w:color="auto" w:sz="4" w:space="0"/>
              <w:right w:val="single" w:color="auto" w:sz="4" w:space="0"/>
            </w:tcBorders>
            <w:vAlign w:val="center"/>
          </w:tcPr>
          <w:p w14:paraId="78AE8D85">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栗香</w:t>
            </w:r>
          </w:p>
        </w:tc>
        <w:tc>
          <w:tcPr>
            <w:tcW w:w="1501" w:type="dxa"/>
            <w:tcBorders>
              <w:top w:val="single" w:color="auto" w:sz="4" w:space="0"/>
              <w:left w:val="single" w:color="auto" w:sz="4" w:space="0"/>
              <w:bottom w:val="single" w:color="auto" w:sz="4" w:space="0"/>
              <w:right w:val="single" w:color="auto" w:sz="4" w:space="0"/>
            </w:tcBorders>
            <w:vAlign w:val="center"/>
          </w:tcPr>
          <w:p w14:paraId="1B321F11">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较醇厚</w:t>
            </w:r>
          </w:p>
        </w:tc>
        <w:tc>
          <w:tcPr>
            <w:tcW w:w="1424" w:type="dxa"/>
            <w:tcBorders>
              <w:top w:val="single" w:color="auto" w:sz="4" w:space="0"/>
              <w:left w:val="single" w:color="auto" w:sz="4" w:space="0"/>
              <w:bottom w:val="single" w:color="auto" w:sz="4" w:space="0"/>
              <w:right w:val="single" w:color="auto" w:sz="4" w:space="0"/>
            </w:tcBorders>
            <w:vAlign w:val="center"/>
          </w:tcPr>
          <w:p w14:paraId="3C25B4FD">
            <w:pPr>
              <w:widowControl/>
              <w:jc w:val="center"/>
              <w:rPr>
                <w:rFonts w:ascii="Times New Roman" w:hAnsi="Times New Roman" w:eastAsia="宋体"/>
                <w:color w:val="auto"/>
                <w:kern w:val="0"/>
                <w:sz w:val="18"/>
                <w:szCs w:val="18"/>
              </w:rPr>
            </w:pPr>
            <w:r>
              <w:rPr>
                <w:rFonts w:hint="eastAsia" w:ascii="Times New Roman" w:hAnsi="Times New Roman" w:eastAsia="宋体"/>
                <w:color w:val="auto"/>
                <w:kern w:val="0"/>
                <w:sz w:val="18"/>
                <w:szCs w:val="18"/>
              </w:rPr>
              <w:t>茎叶柔软，绿亮，有梗</w:t>
            </w:r>
          </w:p>
        </w:tc>
      </w:tr>
    </w:tbl>
    <w:p w14:paraId="0201A66A">
      <w:pPr>
        <w:pStyle w:val="38"/>
        <w:spacing w:before="156" w:after="156"/>
        <w:rPr>
          <w:rFonts w:ascii="Times New Roman"/>
        </w:rPr>
      </w:pPr>
      <w:r>
        <w:rPr>
          <w:rFonts w:hint="eastAsia" w:ascii="Times New Roman"/>
        </w:rPr>
        <w:t xml:space="preserve"> 理化指标 </w:t>
      </w:r>
    </w:p>
    <w:p w14:paraId="59D9EFD2">
      <w:pPr>
        <w:pStyle w:val="21"/>
        <w:rPr>
          <w:rFonts w:ascii="Times New Roman"/>
        </w:rPr>
      </w:pPr>
      <w:r>
        <w:rPr>
          <w:rFonts w:hint="eastAsia" w:ascii="Times New Roman"/>
        </w:rPr>
        <w:t>霄坑绿茶的理化指标应符合表 2 的规定。</w:t>
      </w:r>
    </w:p>
    <w:p w14:paraId="5B778946">
      <w:pPr>
        <w:pStyle w:val="38"/>
        <w:spacing w:before="156" w:after="156"/>
        <w:rPr>
          <w:rFonts w:ascii="Times New Roman"/>
        </w:rPr>
      </w:pPr>
      <w:r>
        <w:rPr>
          <w:rFonts w:hint="eastAsia" w:ascii="Times New Roman"/>
        </w:rPr>
        <w:t xml:space="preserve"> 安全指标</w:t>
      </w:r>
    </w:p>
    <w:p w14:paraId="47755A0F">
      <w:pPr>
        <w:pStyle w:val="42"/>
        <w:spacing w:before="156" w:after="156"/>
        <w:rPr>
          <w:rFonts w:ascii="Times New Roman" w:eastAsia="宋体"/>
        </w:rPr>
      </w:pPr>
      <w:r>
        <w:rPr>
          <w:rFonts w:hint="eastAsia" w:ascii="Times New Roman" w:eastAsia="宋体"/>
        </w:rPr>
        <w:t>污染物限量应符合 GB 2762 的规定。</w:t>
      </w:r>
    </w:p>
    <w:p w14:paraId="419283E9">
      <w:pPr>
        <w:pStyle w:val="42"/>
        <w:spacing w:before="156" w:after="156"/>
        <w:rPr>
          <w:rFonts w:ascii="Times New Roman" w:eastAsia="宋体"/>
        </w:rPr>
      </w:pPr>
      <w:r>
        <w:rPr>
          <w:rFonts w:hint="eastAsia" w:ascii="Times New Roman" w:eastAsia="宋体"/>
        </w:rPr>
        <w:t>农药残留限量应符合 GB 2763 的规定。</w:t>
      </w:r>
    </w:p>
    <w:p w14:paraId="2FFC4FD9">
      <w:pPr>
        <w:widowControl/>
        <w:autoSpaceDE w:val="0"/>
        <w:spacing w:line="360" w:lineRule="auto"/>
        <w:jc w:val="center"/>
        <w:rPr>
          <w:rFonts w:ascii="黑体" w:hAnsi="黑体" w:eastAsia="黑体"/>
          <w:color w:val="000000"/>
          <w:kern w:val="0"/>
          <w:szCs w:val="21"/>
        </w:rPr>
      </w:pPr>
      <w:r>
        <w:rPr>
          <w:rFonts w:hint="eastAsia" w:ascii="黑体" w:hAnsi="黑体" w:eastAsia="黑体"/>
          <w:color w:val="000000"/>
          <w:kern w:val="0"/>
          <w:szCs w:val="21"/>
        </w:rPr>
        <w:t xml:space="preserve">表 2 </w:t>
      </w:r>
      <w:r>
        <w:rPr>
          <w:rFonts w:ascii="黑体" w:hAnsi="黑体" w:eastAsia="黑体"/>
          <w:color w:val="000000"/>
          <w:kern w:val="0"/>
          <w:szCs w:val="21"/>
        </w:rPr>
        <w:t xml:space="preserve"> </w:t>
      </w:r>
      <w:r>
        <w:rPr>
          <w:rFonts w:hint="eastAsia" w:ascii="黑体" w:hAnsi="黑体" w:eastAsia="黑体"/>
          <w:color w:val="000000"/>
          <w:kern w:val="0"/>
          <w:szCs w:val="21"/>
        </w:rPr>
        <w:t>理化指标</w:t>
      </w:r>
    </w:p>
    <w:tbl>
      <w:tblPr>
        <w:tblStyle w:val="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2"/>
        <w:gridCol w:w="3980"/>
      </w:tblGrid>
      <w:tr w14:paraId="5A92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193F2935">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 xml:space="preserve">项 </w:t>
            </w:r>
            <w:r>
              <w:rPr>
                <w:rFonts w:asciiTheme="minorEastAsia" w:hAnsiTheme="minorEastAsia" w:eastAsiaTheme="minorEastAsia"/>
                <w:color w:val="000000"/>
                <w:kern w:val="0"/>
                <w:sz w:val="18"/>
                <w:szCs w:val="18"/>
              </w:rPr>
              <w:t xml:space="preserve">  </w:t>
            </w:r>
            <w:r>
              <w:rPr>
                <w:rFonts w:hint="eastAsia" w:asciiTheme="minorEastAsia" w:hAnsiTheme="minorEastAsia" w:eastAsiaTheme="minorEastAsia"/>
                <w:color w:val="000000"/>
                <w:kern w:val="0"/>
                <w:sz w:val="18"/>
                <w:szCs w:val="18"/>
              </w:rPr>
              <w:t>目</w:t>
            </w:r>
          </w:p>
        </w:tc>
        <w:tc>
          <w:tcPr>
            <w:tcW w:w="3980" w:type="dxa"/>
            <w:tcBorders>
              <w:top w:val="single" w:color="auto" w:sz="4" w:space="0"/>
              <w:left w:val="single" w:color="auto" w:sz="4" w:space="0"/>
              <w:bottom w:val="single" w:color="auto" w:sz="4" w:space="0"/>
              <w:right w:val="single" w:color="auto" w:sz="4" w:space="0"/>
            </w:tcBorders>
          </w:tcPr>
          <w:p w14:paraId="2C8867D9">
            <w:pPr>
              <w:widowControl/>
              <w:jc w:val="center"/>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 xml:space="preserve">指 </w:t>
            </w:r>
            <w:r>
              <w:rPr>
                <w:rFonts w:asciiTheme="minorEastAsia" w:hAnsiTheme="minorEastAsia" w:eastAsiaTheme="minorEastAsia"/>
                <w:color w:val="000000"/>
                <w:kern w:val="0"/>
                <w:sz w:val="18"/>
                <w:szCs w:val="18"/>
              </w:rPr>
              <w:t xml:space="preserve">   </w:t>
            </w:r>
            <w:r>
              <w:rPr>
                <w:rFonts w:hint="eastAsia" w:asciiTheme="minorEastAsia" w:hAnsiTheme="minorEastAsia" w:eastAsiaTheme="minorEastAsia"/>
                <w:color w:val="000000"/>
                <w:kern w:val="0"/>
                <w:sz w:val="18"/>
                <w:szCs w:val="18"/>
              </w:rPr>
              <w:t>标</w:t>
            </w:r>
          </w:p>
        </w:tc>
      </w:tr>
      <w:tr w14:paraId="507E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628D858E">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水分（质量分数），% ≤</w:t>
            </w:r>
          </w:p>
        </w:tc>
        <w:tc>
          <w:tcPr>
            <w:tcW w:w="3980" w:type="dxa"/>
            <w:tcBorders>
              <w:top w:val="single" w:color="auto" w:sz="4" w:space="0"/>
              <w:left w:val="single" w:color="auto" w:sz="4" w:space="0"/>
              <w:bottom w:val="single" w:color="auto" w:sz="4" w:space="0"/>
              <w:right w:val="single" w:color="auto" w:sz="4" w:space="0"/>
            </w:tcBorders>
          </w:tcPr>
          <w:p w14:paraId="737CEE73">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6.5</w:t>
            </w:r>
          </w:p>
        </w:tc>
      </w:tr>
      <w:tr w14:paraId="76D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42487E35">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总灰分（质量分数），% ≤</w:t>
            </w:r>
          </w:p>
        </w:tc>
        <w:tc>
          <w:tcPr>
            <w:tcW w:w="3980" w:type="dxa"/>
            <w:tcBorders>
              <w:top w:val="single" w:color="auto" w:sz="4" w:space="0"/>
              <w:left w:val="single" w:color="auto" w:sz="4" w:space="0"/>
              <w:bottom w:val="single" w:color="auto" w:sz="4" w:space="0"/>
              <w:right w:val="single" w:color="auto" w:sz="4" w:space="0"/>
            </w:tcBorders>
          </w:tcPr>
          <w:p w14:paraId="39614228">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6.5</w:t>
            </w:r>
          </w:p>
        </w:tc>
      </w:tr>
      <w:tr w14:paraId="4413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42908801">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粉末（质量分数），% ≤</w:t>
            </w:r>
          </w:p>
        </w:tc>
        <w:tc>
          <w:tcPr>
            <w:tcW w:w="3980" w:type="dxa"/>
            <w:tcBorders>
              <w:top w:val="single" w:color="auto" w:sz="4" w:space="0"/>
              <w:left w:val="single" w:color="auto" w:sz="4" w:space="0"/>
              <w:bottom w:val="single" w:color="auto" w:sz="4" w:space="0"/>
              <w:right w:val="single" w:color="auto" w:sz="4" w:space="0"/>
            </w:tcBorders>
          </w:tcPr>
          <w:p w14:paraId="1FB6866A">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1.0</w:t>
            </w:r>
          </w:p>
        </w:tc>
      </w:tr>
      <w:tr w14:paraId="30CE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2FF428DC">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水浸出物（质量分数），% ≤</w:t>
            </w:r>
          </w:p>
        </w:tc>
        <w:tc>
          <w:tcPr>
            <w:tcW w:w="3980" w:type="dxa"/>
            <w:tcBorders>
              <w:top w:val="single" w:color="auto" w:sz="4" w:space="0"/>
              <w:left w:val="single" w:color="auto" w:sz="4" w:space="0"/>
              <w:bottom w:val="single" w:color="auto" w:sz="4" w:space="0"/>
              <w:right w:val="single" w:color="auto" w:sz="4" w:space="0"/>
            </w:tcBorders>
          </w:tcPr>
          <w:p w14:paraId="47045A64">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36.0</w:t>
            </w:r>
          </w:p>
        </w:tc>
      </w:tr>
      <w:tr w14:paraId="1297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70CD65DA">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粗纤维（质量分数），% ≤</w:t>
            </w:r>
          </w:p>
        </w:tc>
        <w:tc>
          <w:tcPr>
            <w:tcW w:w="3980" w:type="dxa"/>
            <w:tcBorders>
              <w:top w:val="single" w:color="auto" w:sz="4" w:space="0"/>
              <w:left w:val="single" w:color="auto" w:sz="4" w:space="0"/>
              <w:bottom w:val="single" w:color="auto" w:sz="4" w:space="0"/>
              <w:right w:val="single" w:color="auto" w:sz="4" w:space="0"/>
            </w:tcBorders>
          </w:tcPr>
          <w:p w14:paraId="79636A3B">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16.0</w:t>
            </w:r>
          </w:p>
        </w:tc>
      </w:tr>
      <w:tr w14:paraId="0EE1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4A4ABBEB">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酸不溶性灰分（质量分数），% ≤</w:t>
            </w:r>
          </w:p>
        </w:tc>
        <w:tc>
          <w:tcPr>
            <w:tcW w:w="3980" w:type="dxa"/>
            <w:tcBorders>
              <w:top w:val="single" w:color="auto" w:sz="4" w:space="0"/>
              <w:left w:val="single" w:color="auto" w:sz="4" w:space="0"/>
              <w:bottom w:val="single" w:color="auto" w:sz="4" w:space="0"/>
              <w:right w:val="single" w:color="auto" w:sz="4" w:space="0"/>
            </w:tcBorders>
          </w:tcPr>
          <w:p w14:paraId="03490664">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1.0</w:t>
            </w:r>
          </w:p>
        </w:tc>
      </w:tr>
      <w:tr w14:paraId="0D0F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2" w:type="dxa"/>
            <w:tcBorders>
              <w:top w:val="single" w:color="auto" w:sz="4" w:space="0"/>
              <w:left w:val="single" w:color="auto" w:sz="4" w:space="0"/>
              <w:bottom w:val="single" w:color="auto" w:sz="4" w:space="0"/>
              <w:right w:val="single" w:color="auto" w:sz="4" w:space="0"/>
            </w:tcBorders>
          </w:tcPr>
          <w:p w14:paraId="5CD4F662">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水溶性灰分， 占总灰分（质量分数），% ≤</w:t>
            </w:r>
          </w:p>
        </w:tc>
        <w:tc>
          <w:tcPr>
            <w:tcW w:w="3980" w:type="dxa"/>
            <w:tcBorders>
              <w:top w:val="single" w:color="auto" w:sz="4" w:space="0"/>
              <w:left w:val="single" w:color="auto" w:sz="4" w:space="0"/>
              <w:bottom w:val="single" w:color="auto" w:sz="4" w:space="0"/>
              <w:right w:val="single" w:color="auto" w:sz="4" w:space="0"/>
            </w:tcBorders>
          </w:tcPr>
          <w:p w14:paraId="40D22D6A">
            <w:pPr>
              <w:widowControl/>
              <w:jc w:val="center"/>
              <w:rPr>
                <w:rFonts w:hint="default" w:asciiTheme="minorEastAsia" w:hAnsiTheme="minorEastAsia" w:eastAsiaTheme="minorEastAsia"/>
                <w:color w:val="000000"/>
                <w:kern w:val="0"/>
                <w:sz w:val="18"/>
                <w:szCs w:val="18"/>
                <w:lang w:val="en-US" w:eastAsia="zh-CN"/>
              </w:rPr>
            </w:pPr>
            <w:r>
              <w:rPr>
                <w:rFonts w:hint="eastAsia" w:asciiTheme="minorEastAsia" w:hAnsiTheme="minorEastAsia" w:eastAsiaTheme="minorEastAsia"/>
                <w:color w:val="000000"/>
                <w:kern w:val="0"/>
                <w:sz w:val="18"/>
                <w:szCs w:val="18"/>
                <w:lang w:val="en-US" w:eastAsia="zh-CN"/>
              </w:rPr>
              <w:t>45.0</w:t>
            </w:r>
          </w:p>
        </w:tc>
      </w:tr>
      <w:tr w14:paraId="3280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Borders>
              <w:top w:val="single" w:color="auto" w:sz="4" w:space="0"/>
              <w:left w:val="single" w:color="auto" w:sz="4" w:space="0"/>
              <w:bottom w:val="single" w:color="auto" w:sz="4" w:space="0"/>
              <w:right w:val="single" w:color="auto" w:sz="4" w:space="0"/>
            </w:tcBorders>
          </w:tcPr>
          <w:p w14:paraId="2C15F301">
            <w:pPr>
              <w:widowControl/>
              <w:rPr>
                <w:rFonts w:asciiTheme="minorEastAsia" w:hAnsiTheme="minorEastAsia" w:eastAsiaTheme="minorEastAsia"/>
                <w:color w:val="000000"/>
                <w:kern w:val="0"/>
                <w:sz w:val="18"/>
                <w:szCs w:val="18"/>
              </w:rPr>
            </w:pPr>
            <w:r>
              <w:rPr>
                <w:rFonts w:hint="eastAsia" w:asciiTheme="minorEastAsia" w:hAnsiTheme="minorEastAsia" w:eastAsiaTheme="minorEastAsia"/>
                <w:color w:val="000000"/>
                <w:kern w:val="0"/>
                <w:sz w:val="18"/>
                <w:szCs w:val="18"/>
              </w:rPr>
              <w:t>注：粗纤维、酸不溶性灰分、水溶性灰分为参考指标</w:t>
            </w:r>
          </w:p>
        </w:tc>
      </w:tr>
    </w:tbl>
    <w:p w14:paraId="35DBC04B">
      <w:pPr>
        <w:pStyle w:val="38"/>
        <w:spacing w:before="156" w:after="156"/>
        <w:rPr>
          <w:rFonts w:ascii="Times New Roman"/>
        </w:rPr>
      </w:pPr>
      <w:r>
        <w:rPr>
          <w:rFonts w:hint="eastAsia" w:ascii="Times New Roman"/>
        </w:rPr>
        <w:t xml:space="preserve">净含量 </w:t>
      </w:r>
    </w:p>
    <w:p w14:paraId="040614CB">
      <w:pPr>
        <w:pStyle w:val="21"/>
        <w:rPr>
          <w:rFonts w:ascii="Times New Roman"/>
        </w:rPr>
      </w:pPr>
      <w:r>
        <w:rPr>
          <w:rFonts w:hint="eastAsia" w:ascii="Times New Roman"/>
        </w:rPr>
        <w:t>定量包装产品的净含量应符合《定量包装商品计量监督管理办法》的规定。</w:t>
      </w:r>
    </w:p>
    <w:p w14:paraId="5983B66E">
      <w:pPr>
        <w:pStyle w:val="41"/>
        <w:spacing w:before="312" w:after="312"/>
        <w:rPr>
          <w:rFonts w:ascii="Times New Roman"/>
        </w:rPr>
      </w:pPr>
      <w:bookmarkStart w:id="31" w:name="_Toc152964057"/>
      <w:r>
        <w:rPr>
          <w:rFonts w:hint="eastAsia" w:ascii="Times New Roman"/>
        </w:rPr>
        <w:t>标签、标志</w:t>
      </w:r>
      <w:bookmarkEnd w:id="31"/>
      <w:r>
        <w:rPr>
          <w:rFonts w:hint="eastAsia" w:ascii="Times New Roman"/>
        </w:rPr>
        <w:t xml:space="preserve"> </w:t>
      </w:r>
    </w:p>
    <w:p w14:paraId="76E3DECE">
      <w:pPr>
        <w:pStyle w:val="38"/>
        <w:spacing w:before="156" w:after="156"/>
        <w:rPr>
          <w:rFonts w:ascii="Times New Roman" w:eastAsia="宋体"/>
        </w:rPr>
      </w:pPr>
      <w:r>
        <w:rPr>
          <w:rFonts w:hint="eastAsia" w:ascii="Times New Roman" w:eastAsia="宋体"/>
        </w:rPr>
        <w:t xml:space="preserve">预包装产品的标签标志应符合 GB 7718 的规定。 </w:t>
      </w:r>
    </w:p>
    <w:p w14:paraId="3EA0D07A">
      <w:pPr>
        <w:pStyle w:val="38"/>
        <w:spacing w:before="156" w:after="156"/>
        <w:rPr>
          <w:rFonts w:ascii="Times New Roman" w:eastAsia="宋体"/>
        </w:rPr>
      </w:pPr>
      <w:r>
        <w:rPr>
          <w:rFonts w:hint="eastAsia" w:ascii="Times New Roman" w:eastAsia="宋体"/>
        </w:rPr>
        <w:t xml:space="preserve">包装储运图示标志应符合 GB/T 191 的规定。 </w:t>
      </w:r>
    </w:p>
    <w:p w14:paraId="571B80B2">
      <w:pPr>
        <w:pStyle w:val="38"/>
        <w:spacing w:before="156" w:after="156"/>
        <w:rPr>
          <w:rFonts w:asciiTheme="minorEastAsia" w:hAnsiTheme="minorEastAsia" w:eastAsiaTheme="minorEastAsia"/>
        </w:rPr>
      </w:pPr>
      <w:r>
        <w:rPr>
          <w:rFonts w:hint="eastAsia" w:asciiTheme="minorEastAsia" w:hAnsiTheme="minorEastAsia" w:eastAsiaTheme="minorEastAsia"/>
        </w:rPr>
        <w:t>获准使用地理标志农产品专用标志的生产者，应按专用标志管理办法的规定在其产品上使用专用标志；</w:t>
      </w:r>
    </w:p>
    <w:p w14:paraId="6BCF6396">
      <w:pPr>
        <w:pStyle w:val="41"/>
        <w:spacing w:before="312" w:after="312"/>
        <w:rPr>
          <w:rFonts w:ascii="Times New Roman"/>
        </w:rPr>
      </w:pPr>
      <w:bookmarkStart w:id="32" w:name="_Toc152964058"/>
      <w:r>
        <w:rPr>
          <w:rFonts w:hint="eastAsia" w:ascii="Times New Roman"/>
        </w:rPr>
        <w:t>包装、运输、储存和产品召回</w:t>
      </w:r>
      <w:bookmarkEnd w:id="32"/>
    </w:p>
    <w:p w14:paraId="1FE34B73">
      <w:pPr>
        <w:pStyle w:val="21"/>
        <w:rPr>
          <w:rFonts w:ascii="Times New Roman"/>
        </w:rPr>
      </w:pPr>
      <w:r>
        <w:rPr>
          <w:rFonts w:hint="eastAsia" w:ascii="Times New Roman"/>
        </w:rPr>
        <w:t>应符合GB 31621、GB/T 30375 和 GH/T 1070的规定。</w:t>
      </w:r>
    </w:p>
    <w:p w14:paraId="345B9953">
      <w:pPr>
        <w:pStyle w:val="21"/>
        <w:rPr>
          <w:rFonts w:ascii="Times New Roman"/>
        </w:rPr>
      </w:pPr>
    </w:p>
    <w:p w14:paraId="429DEC2E">
      <w:pPr>
        <w:pStyle w:val="94"/>
      </w:pPr>
    </w:p>
    <w:p w14:paraId="0F31CEBC">
      <w:pPr>
        <w:pStyle w:val="82"/>
      </w:pPr>
    </w:p>
    <w:p w14:paraId="64375C13">
      <w:pPr>
        <w:pStyle w:val="80"/>
        <w:rPr>
          <w:rFonts w:ascii="Times New Roman"/>
        </w:rPr>
      </w:pPr>
      <w:r>
        <w:rPr>
          <w:rFonts w:ascii="Times New Roman"/>
        </w:rPr>
        <w:br w:type="textWrapping"/>
      </w:r>
      <w:bookmarkStart w:id="33" w:name="_Toc152964059"/>
      <w:r>
        <w:rPr>
          <w:rFonts w:hint="eastAsia" w:ascii="Times New Roman"/>
        </w:rPr>
        <w:t>（规范</w:t>
      </w:r>
      <w:bookmarkStart w:id="34" w:name="BZ"/>
      <w:bookmarkEnd w:id="34"/>
      <w:r>
        <w:rPr>
          <w:rFonts w:hint="eastAsia" w:ascii="Times New Roman"/>
        </w:rPr>
        <w:t>性）</w:t>
      </w:r>
      <w:r>
        <w:rPr>
          <w:rFonts w:ascii="Times New Roman"/>
        </w:rPr>
        <w:br w:type="textWrapping"/>
      </w:r>
      <w:r>
        <w:rPr>
          <w:rFonts w:hint="eastAsia" w:ascii="Times New Roman"/>
        </w:rPr>
        <w:t>霄坑绿茶产地区域范围</w:t>
      </w:r>
      <w:bookmarkEnd w:id="33"/>
    </w:p>
    <w:p w14:paraId="640C1048">
      <w:pPr>
        <w:pStyle w:val="21"/>
        <w:rPr>
          <w:rFonts w:ascii="Times New Roman"/>
        </w:rPr>
      </w:pPr>
    </w:p>
    <w:p w14:paraId="2AF63C17">
      <w:pPr>
        <w:pStyle w:val="21"/>
        <w:rPr>
          <w:rFonts w:ascii="Times New Roman"/>
        </w:rPr>
      </w:pPr>
    </w:p>
    <w:p w14:paraId="75BEE768">
      <w:pPr>
        <w:pStyle w:val="21"/>
        <w:ind w:left="0" w:leftChars="0" w:firstLine="0" w:firstLineChars="0"/>
        <w:rPr>
          <w:rFonts w:hint="eastAsia" w:ascii="Times New Roman" w:eastAsia="宋体"/>
          <w:lang w:eastAsia="zh-CN"/>
        </w:rPr>
      </w:pPr>
      <w:r>
        <w:rPr>
          <w:rFonts w:hint="eastAsia" w:ascii="Times New Roman" w:eastAsia="宋体"/>
          <w:lang w:eastAsia="zh-CN"/>
        </w:rPr>
        <w:drawing>
          <wp:inline distT="0" distB="0" distL="114300" distR="114300">
            <wp:extent cx="5934075" cy="4727575"/>
            <wp:effectExtent l="0" t="0" r="9525" b="9525"/>
            <wp:docPr id="1" name="图片 1" descr="IMG_20240406_22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240406_222237"/>
                    <pic:cNvPicPr>
                      <a:picLocks noChangeAspect="1"/>
                    </pic:cNvPicPr>
                  </pic:nvPicPr>
                  <pic:blipFill>
                    <a:blip r:embed="rId6"/>
                    <a:stretch>
                      <a:fillRect/>
                    </a:stretch>
                  </pic:blipFill>
                  <pic:spPr>
                    <a:xfrm>
                      <a:off x="0" y="0"/>
                      <a:ext cx="5934075" cy="4727575"/>
                    </a:xfrm>
                    <a:prstGeom prst="rect">
                      <a:avLst/>
                    </a:prstGeom>
                  </pic:spPr>
                </pic:pic>
              </a:graphicData>
            </a:graphic>
          </wp:inline>
        </w:drawing>
      </w:r>
    </w:p>
    <w:p w14:paraId="203A2C55">
      <w:pPr>
        <w:pStyle w:val="21"/>
        <w:ind w:left="0" w:leftChars="0" w:firstLine="0" w:firstLineChars="0"/>
        <w:rPr>
          <w:rFonts w:hint="eastAsia" w:ascii="Times New Roman" w:eastAsia="宋体"/>
          <w:lang w:eastAsia="zh-CN"/>
        </w:rPr>
      </w:pPr>
    </w:p>
    <w:p w14:paraId="6BC11B08">
      <w:pPr>
        <w:pStyle w:val="21"/>
        <w:ind w:left="0" w:leftChars="0" w:firstLine="0" w:firstLineChars="0"/>
        <w:rPr>
          <w:rFonts w:hint="eastAsia" w:ascii="Times New Roman" w:eastAsia="宋体"/>
          <w:lang w:eastAsia="zh-CN"/>
        </w:rPr>
      </w:pPr>
    </w:p>
    <w:p w14:paraId="473B340D">
      <w:pPr>
        <w:pStyle w:val="21"/>
        <w:ind w:left="0" w:leftChars="0" w:firstLine="0" w:firstLineChars="0"/>
        <w:rPr>
          <w:rFonts w:hint="eastAsia" w:ascii="Times New Roman" w:eastAsia="宋体"/>
          <w:lang w:eastAsia="zh-CN"/>
        </w:rPr>
      </w:pPr>
    </w:p>
    <w:p w14:paraId="30085127">
      <w:pPr>
        <w:pStyle w:val="21"/>
        <w:ind w:left="0" w:leftChars="0" w:firstLine="0" w:firstLineChars="0"/>
        <w:rPr>
          <w:rFonts w:hint="eastAsia" w:ascii="Times New Roman" w:eastAsia="宋体"/>
          <w:lang w:eastAsia="zh-CN"/>
        </w:rPr>
      </w:pPr>
    </w:p>
    <w:p w14:paraId="5F5CA1C8">
      <w:pPr>
        <w:pStyle w:val="21"/>
        <w:ind w:left="0" w:leftChars="0" w:firstLine="0" w:firstLineChars="0"/>
        <w:rPr>
          <w:rFonts w:hint="eastAsia" w:ascii="Times New Roman" w:eastAsia="宋体"/>
          <w:lang w:eastAsia="zh-CN"/>
        </w:rPr>
      </w:pPr>
    </w:p>
    <w:p w14:paraId="71316976">
      <w:pPr>
        <w:pStyle w:val="21"/>
        <w:ind w:left="0" w:leftChars="0" w:firstLine="0" w:firstLineChars="0"/>
        <w:rPr>
          <w:rFonts w:hint="eastAsia" w:ascii="Times New Roman" w:eastAsia="宋体"/>
          <w:lang w:eastAsia="zh-CN"/>
        </w:rPr>
      </w:pPr>
    </w:p>
    <w:p w14:paraId="0EF1E4CD">
      <w:pPr>
        <w:pStyle w:val="21"/>
        <w:ind w:left="0" w:leftChars="0" w:firstLine="0" w:firstLineChars="0"/>
        <w:rPr>
          <w:rFonts w:hint="eastAsia" w:ascii="Times New Roman" w:eastAsia="宋体"/>
          <w:lang w:eastAsia="zh-CN"/>
        </w:rPr>
      </w:pPr>
    </w:p>
    <w:p w14:paraId="48423D8F">
      <w:pPr>
        <w:pStyle w:val="21"/>
        <w:ind w:left="0" w:leftChars="0" w:firstLine="0" w:firstLineChars="0"/>
        <w:rPr>
          <w:rFonts w:hint="eastAsia" w:ascii="Times New Roman" w:eastAsia="宋体"/>
          <w:lang w:eastAsia="zh-CN"/>
        </w:rPr>
      </w:pPr>
    </w:p>
    <w:p w14:paraId="0C7D6BF6">
      <w:pPr>
        <w:pStyle w:val="21"/>
        <w:ind w:left="0" w:leftChars="0" w:firstLine="0" w:firstLineChars="0"/>
        <w:rPr>
          <w:rFonts w:hint="eastAsia" w:ascii="Times New Roman" w:eastAsia="宋体"/>
          <w:lang w:eastAsia="zh-CN"/>
        </w:rPr>
      </w:pPr>
    </w:p>
    <w:p w14:paraId="6EDAFC28">
      <w:pPr>
        <w:pStyle w:val="21"/>
        <w:ind w:left="0" w:leftChars="0" w:firstLine="0" w:firstLineChars="0"/>
        <w:rPr>
          <w:rFonts w:hint="eastAsia" w:ascii="Times New Roman" w:eastAsia="宋体"/>
          <w:lang w:eastAsia="zh-CN"/>
        </w:rPr>
      </w:pPr>
    </w:p>
    <w:p w14:paraId="27E35459">
      <w:pPr>
        <w:pStyle w:val="21"/>
        <w:ind w:left="0" w:leftChars="0" w:firstLine="0" w:firstLineChars="0"/>
        <w:rPr>
          <w:rFonts w:hint="eastAsia" w:ascii="Times New Roman" w:eastAsia="宋体"/>
          <w:lang w:eastAsia="zh-CN"/>
        </w:rPr>
      </w:pPr>
    </w:p>
    <w:p w14:paraId="2F527E72">
      <w:pPr>
        <w:pStyle w:val="21"/>
        <w:ind w:left="0" w:leftChars="0" w:firstLine="0" w:firstLineChars="0"/>
        <w:rPr>
          <w:rFonts w:hint="eastAsia" w:ascii="Times New Roman" w:eastAsia="宋体"/>
          <w:lang w:eastAsia="zh-CN"/>
        </w:rPr>
      </w:pPr>
    </w:p>
    <w:sectPr>
      <w:pgSz w:w="11906" w:h="16838"/>
      <w:pgMar w:top="567" w:right="1134" w:bottom="1134" w:left="1418"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830A1">
    <w:pPr>
      <w:pStyle w:val="39"/>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66F8F">
    <w:pPr>
      <w:pStyle w:val="16"/>
    </w:pPr>
    <w:r>
      <w:t>DB ××/T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952887"/>
    <w:multiLevelType w:val="multilevel"/>
    <w:tmpl w:val="0A952887"/>
    <w:lvl w:ilvl="0" w:tentative="0">
      <w:start w:val="1"/>
      <w:numFmt w:val="decimal"/>
      <w:pStyle w:val="61"/>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
    <w:nsid w:val="0F805D97"/>
    <w:multiLevelType w:val="multilevel"/>
    <w:tmpl w:val="0F805D97"/>
    <w:lvl w:ilvl="0" w:tentative="0">
      <w:start w:val="1"/>
      <w:numFmt w:val="none"/>
      <w:pStyle w:val="53"/>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
    <w:nsid w:val="1FC91163"/>
    <w:multiLevelType w:val="multilevel"/>
    <w:tmpl w:val="1FC91163"/>
    <w:lvl w:ilvl="0" w:tentative="0">
      <w:start w:val="1"/>
      <w:numFmt w:val="decimal"/>
      <w:pStyle w:val="4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8"/>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42"/>
      <w:suff w:val="nothing"/>
      <w:lvlText w:val="%1.%2.%3　"/>
      <w:lvlJc w:val="left"/>
      <w:pPr>
        <w:ind w:left="0" w:firstLine="0"/>
      </w:pPr>
      <w:rPr>
        <w:rFonts w:hint="eastAsia" w:ascii="黑体" w:hAnsi="Times New Roman" w:eastAsia="黑体"/>
        <w:b w:val="0"/>
        <w:i w:val="0"/>
        <w:sz w:val="21"/>
      </w:rPr>
    </w:lvl>
    <w:lvl w:ilvl="3" w:tentative="0">
      <w:start w:val="1"/>
      <w:numFmt w:val="decimal"/>
      <w:pStyle w:val="47"/>
      <w:suff w:val="nothing"/>
      <w:lvlText w:val="%1.%2.%3.%4　"/>
      <w:lvlJc w:val="left"/>
      <w:pPr>
        <w:ind w:left="0" w:firstLine="0"/>
      </w:pPr>
      <w:rPr>
        <w:rFonts w:hint="eastAsia" w:ascii="黑体" w:hAnsi="Times New Roman" w:eastAsia="黑体"/>
        <w:b w:val="0"/>
        <w:i w:val="0"/>
        <w:sz w:val="21"/>
      </w:rPr>
    </w:lvl>
    <w:lvl w:ilvl="4" w:tentative="0">
      <w:start w:val="1"/>
      <w:numFmt w:val="decimal"/>
      <w:pStyle w:val="51"/>
      <w:suff w:val="nothing"/>
      <w:lvlText w:val="%1.%2.%3.%4.%5　"/>
      <w:lvlJc w:val="left"/>
      <w:pPr>
        <w:ind w:left="0" w:firstLine="0"/>
      </w:pPr>
      <w:rPr>
        <w:rFonts w:hint="eastAsia" w:ascii="黑体" w:hAnsi="Times New Roman" w:eastAsia="黑体"/>
        <w:b w:val="0"/>
        <w:i w:val="0"/>
        <w:sz w:val="21"/>
      </w:rPr>
    </w:lvl>
    <w:lvl w:ilvl="5" w:tentative="0">
      <w:start w:val="1"/>
      <w:numFmt w:val="decimal"/>
      <w:pStyle w:val="5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B435DB"/>
    <w:multiLevelType w:val="multilevel"/>
    <w:tmpl w:val="24B435DB"/>
    <w:lvl w:ilvl="0" w:tentative="0">
      <w:start w:val="1"/>
      <w:numFmt w:val="lowerLetter"/>
      <w:pStyle w:val="117"/>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29707437"/>
    <w:multiLevelType w:val="multilevel"/>
    <w:tmpl w:val="29707437"/>
    <w:lvl w:ilvl="0" w:tentative="0">
      <w:start w:val="1"/>
      <w:numFmt w:val="none"/>
      <w:pStyle w:val="60"/>
      <w:suff w:val="nothing"/>
      <w:lvlText w:val="%1注："/>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2A8F7113"/>
    <w:multiLevelType w:val="multilevel"/>
    <w:tmpl w:val="2A8F7113"/>
    <w:lvl w:ilvl="0" w:tentative="0">
      <w:start w:val="1"/>
      <w:numFmt w:val="upperLetter"/>
      <w:pStyle w:val="94"/>
      <w:suff w:val="space"/>
      <w:lvlText w:val="%1"/>
      <w:lvlJc w:val="left"/>
      <w:pPr>
        <w:ind w:left="623" w:hanging="425"/>
      </w:pPr>
      <w:rPr>
        <w:rFonts w:hint="eastAsia"/>
      </w:rPr>
    </w:lvl>
    <w:lvl w:ilvl="1" w:tentative="0">
      <w:start w:val="1"/>
      <w:numFmt w:val="decimal"/>
      <w:pStyle w:val="95"/>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6">
    <w:nsid w:val="2C5917C3"/>
    <w:multiLevelType w:val="multilevel"/>
    <w:tmpl w:val="2C5917C3"/>
    <w:lvl w:ilvl="0" w:tentative="0">
      <w:start w:val="1"/>
      <w:numFmt w:val="none"/>
      <w:pStyle w:val="44"/>
      <w:suff w:val="nothing"/>
      <w:lvlText w:val="%1——"/>
      <w:lvlJc w:val="left"/>
      <w:pPr>
        <w:ind w:left="833" w:hanging="408"/>
      </w:pPr>
      <w:rPr>
        <w:rFonts w:hint="eastAsia"/>
      </w:rPr>
    </w:lvl>
    <w:lvl w:ilvl="1" w:tentative="0">
      <w:start w:val="1"/>
      <w:numFmt w:val="bullet"/>
      <w:pStyle w:val="45"/>
      <w:lvlText w:val=""/>
      <w:lvlJc w:val="left"/>
      <w:pPr>
        <w:tabs>
          <w:tab w:val="left" w:pos="760"/>
        </w:tabs>
        <w:ind w:left="1264" w:hanging="413"/>
      </w:pPr>
      <w:rPr>
        <w:rFonts w:hint="default" w:ascii="Symbol" w:hAnsi="Symbol"/>
        <w:color w:val="auto"/>
      </w:rPr>
    </w:lvl>
    <w:lvl w:ilvl="2" w:tentative="0">
      <w:start w:val="1"/>
      <w:numFmt w:val="bullet"/>
      <w:pStyle w:val="5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7">
    <w:nsid w:val="3D733618"/>
    <w:multiLevelType w:val="multilevel"/>
    <w:tmpl w:val="3D733618"/>
    <w:lvl w:ilvl="0" w:tentative="0">
      <w:start w:val="1"/>
      <w:numFmt w:val="decimal"/>
      <w:pStyle w:val="22"/>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8">
    <w:nsid w:val="44C50F90"/>
    <w:multiLevelType w:val="multilevel"/>
    <w:tmpl w:val="44C50F90"/>
    <w:lvl w:ilvl="0" w:tentative="0">
      <w:start w:val="1"/>
      <w:numFmt w:val="lowerLetter"/>
      <w:pStyle w:val="55"/>
      <w:lvlText w:val="%1)"/>
      <w:lvlJc w:val="left"/>
      <w:pPr>
        <w:tabs>
          <w:tab w:val="left" w:pos="840"/>
        </w:tabs>
        <w:ind w:left="839" w:hanging="419"/>
      </w:pPr>
      <w:rPr>
        <w:rFonts w:hint="eastAsia" w:ascii="宋体" w:eastAsia="宋体"/>
        <w:b w:val="0"/>
        <w:i w:val="0"/>
        <w:sz w:val="21"/>
        <w:szCs w:val="21"/>
      </w:rPr>
    </w:lvl>
    <w:lvl w:ilvl="1" w:tentative="0">
      <w:start w:val="1"/>
      <w:numFmt w:val="decimal"/>
      <w:pStyle w:val="50"/>
      <w:lvlText w:val="%2)"/>
      <w:lvlJc w:val="left"/>
      <w:pPr>
        <w:tabs>
          <w:tab w:val="left" w:pos="1260"/>
        </w:tabs>
        <w:ind w:left="1259" w:hanging="419"/>
      </w:pPr>
      <w:rPr>
        <w:rFonts w:hint="eastAsia"/>
      </w:rPr>
    </w:lvl>
    <w:lvl w:ilvl="2" w:tentative="0">
      <w:start w:val="1"/>
      <w:numFmt w:val="decimal"/>
      <w:pStyle w:val="57"/>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9">
    <w:nsid w:val="520F62E9"/>
    <w:multiLevelType w:val="multilevel"/>
    <w:tmpl w:val="520F62E9"/>
    <w:lvl w:ilvl="0" w:tentative="0">
      <w:start w:val="1"/>
      <w:numFmt w:val="decimal"/>
      <w:pStyle w:val="124"/>
      <w:suff w:val="nothing"/>
      <w:lvlText w:val="图%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5E63562F"/>
    <w:multiLevelType w:val="multilevel"/>
    <w:tmpl w:val="5E63562F"/>
    <w:lvl w:ilvl="0" w:tentative="0">
      <w:start w:val="1"/>
      <w:numFmt w:val="decimal"/>
      <w:pStyle w:val="54"/>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1">
    <w:nsid w:val="60B55DC2"/>
    <w:multiLevelType w:val="multilevel"/>
    <w:tmpl w:val="60B55DC2"/>
    <w:lvl w:ilvl="0" w:tentative="0">
      <w:start w:val="1"/>
      <w:numFmt w:val="upperLetter"/>
      <w:pStyle w:val="82"/>
      <w:lvlText w:val="%1"/>
      <w:lvlJc w:val="left"/>
      <w:pPr>
        <w:tabs>
          <w:tab w:val="left" w:pos="0"/>
        </w:tabs>
        <w:ind w:left="0" w:hanging="425"/>
      </w:pPr>
      <w:rPr>
        <w:rFonts w:hint="eastAsia"/>
      </w:rPr>
    </w:lvl>
    <w:lvl w:ilvl="1" w:tentative="0">
      <w:start w:val="1"/>
      <w:numFmt w:val="decimal"/>
      <w:pStyle w:val="8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2">
    <w:nsid w:val="63404DBE"/>
    <w:multiLevelType w:val="multilevel"/>
    <w:tmpl w:val="63404DBE"/>
    <w:lvl w:ilvl="0" w:tentative="0">
      <w:start w:val="1"/>
      <w:numFmt w:val="none"/>
      <w:pStyle w:val="48"/>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3">
    <w:nsid w:val="63AF7EBF"/>
    <w:multiLevelType w:val="multilevel"/>
    <w:tmpl w:val="63AF7EBF"/>
    <w:lvl w:ilvl="0" w:tentative="0">
      <w:start w:val="1"/>
      <w:numFmt w:val="decimal"/>
      <w:pStyle w:val="122"/>
      <w:suff w:val="nothing"/>
      <w:lvlText w:val="表%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657D3FBC"/>
    <w:multiLevelType w:val="multilevel"/>
    <w:tmpl w:val="657D3FBC"/>
    <w:lvl w:ilvl="0" w:tentative="0">
      <w:start w:val="1"/>
      <w:numFmt w:val="upperLetter"/>
      <w:pStyle w:val="80"/>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9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9"/>
      <w:suff w:val="nothing"/>
      <w:lvlText w:val="%1.%2.%3　"/>
      <w:lvlJc w:val="left"/>
      <w:pPr>
        <w:ind w:left="0" w:firstLine="0"/>
      </w:pPr>
      <w:rPr>
        <w:rFonts w:hint="eastAsia" w:ascii="黑体" w:hAnsi="Times New Roman" w:eastAsia="黑体"/>
        <w:b w:val="0"/>
        <w:i w:val="0"/>
        <w:sz w:val="21"/>
      </w:rPr>
    </w:lvl>
    <w:lvl w:ilvl="3" w:tentative="0">
      <w:start w:val="1"/>
      <w:numFmt w:val="decimal"/>
      <w:pStyle w:val="84"/>
      <w:suff w:val="nothing"/>
      <w:lvlText w:val="%1.%2.%3.%4　"/>
      <w:lvlJc w:val="left"/>
      <w:pPr>
        <w:ind w:left="0" w:firstLine="0"/>
      </w:pPr>
      <w:rPr>
        <w:rFonts w:hint="eastAsia" w:ascii="黑体" w:hAnsi="Times New Roman" w:eastAsia="黑体"/>
        <w:b w:val="0"/>
        <w:i w:val="0"/>
        <w:sz w:val="21"/>
      </w:rPr>
    </w:lvl>
    <w:lvl w:ilvl="4" w:tentative="0">
      <w:start w:val="1"/>
      <w:numFmt w:val="decimal"/>
      <w:pStyle w:val="89"/>
      <w:suff w:val="nothing"/>
      <w:lvlText w:val="%1.%2.%3.%4.%5　"/>
      <w:lvlJc w:val="left"/>
      <w:pPr>
        <w:ind w:left="0" w:firstLine="0"/>
      </w:pPr>
      <w:rPr>
        <w:rFonts w:hint="eastAsia" w:ascii="黑体" w:hAnsi="Times New Roman" w:eastAsia="黑体"/>
        <w:b w:val="0"/>
        <w:i w:val="0"/>
        <w:sz w:val="21"/>
      </w:rPr>
    </w:lvl>
    <w:lvl w:ilvl="5" w:tentative="0">
      <w:start w:val="1"/>
      <w:numFmt w:val="decimal"/>
      <w:pStyle w:val="92"/>
      <w:suff w:val="nothing"/>
      <w:lvlText w:val="%1.%2.%3.%4.%5.%6　"/>
      <w:lvlJc w:val="left"/>
      <w:pPr>
        <w:ind w:left="0" w:firstLine="0"/>
      </w:pPr>
      <w:rPr>
        <w:rFonts w:hint="eastAsia" w:ascii="黑体" w:hAnsi="Times New Roman" w:eastAsia="黑体"/>
        <w:b w:val="0"/>
        <w:i w:val="0"/>
        <w:sz w:val="21"/>
      </w:rPr>
    </w:lvl>
    <w:lvl w:ilvl="6" w:tentative="0">
      <w:start w:val="1"/>
      <w:numFmt w:val="decimal"/>
      <w:pStyle w:val="9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AB870ED"/>
    <w:multiLevelType w:val="multilevel"/>
    <w:tmpl w:val="6AB870ED"/>
    <w:lvl w:ilvl="0" w:tentative="0">
      <w:start w:val="1"/>
      <w:numFmt w:val="decimal"/>
      <w:pStyle w:val="58"/>
      <w:suff w:val="nothing"/>
      <w:lvlText w:val="示例%1："/>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6">
    <w:nsid w:val="6D6C07CD"/>
    <w:multiLevelType w:val="multilevel"/>
    <w:tmpl w:val="6D6C07CD"/>
    <w:lvl w:ilvl="0" w:tentative="0">
      <w:start w:val="1"/>
      <w:numFmt w:val="lowerLetter"/>
      <w:pStyle w:val="101"/>
      <w:lvlText w:val="%1)"/>
      <w:lvlJc w:val="left"/>
      <w:pPr>
        <w:tabs>
          <w:tab w:val="left" w:pos="839"/>
        </w:tabs>
        <w:ind w:left="839" w:hanging="419"/>
      </w:pPr>
      <w:rPr>
        <w:rFonts w:hint="eastAsia" w:ascii="宋体" w:eastAsia="宋体"/>
        <w:b w:val="0"/>
        <w:i w:val="0"/>
        <w:sz w:val="21"/>
      </w:rPr>
    </w:lvl>
    <w:lvl w:ilvl="1" w:tentative="0">
      <w:start w:val="1"/>
      <w:numFmt w:val="decimal"/>
      <w:pStyle w:val="91"/>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num w:numId="1">
    <w:abstractNumId w:val="7"/>
  </w:num>
  <w:num w:numId="2">
    <w:abstractNumId w:val="2"/>
  </w:num>
  <w:num w:numId="3">
    <w:abstractNumId w:val="6"/>
  </w:num>
  <w:num w:numId="4">
    <w:abstractNumId w:val="12"/>
  </w:num>
  <w:num w:numId="5">
    <w:abstractNumId w:val="8"/>
  </w:num>
  <w:num w:numId="6">
    <w:abstractNumId w:val="1"/>
  </w:num>
  <w:num w:numId="7">
    <w:abstractNumId w:val="10"/>
  </w:num>
  <w:num w:numId="8">
    <w:abstractNumId w:val="15"/>
  </w:num>
  <w:num w:numId="9">
    <w:abstractNumId w:val="4"/>
  </w:num>
  <w:num w:numId="10">
    <w:abstractNumId w:val="0"/>
  </w:num>
  <w:num w:numId="11">
    <w:abstractNumId w:val="14"/>
  </w:num>
  <w:num w:numId="12">
    <w:abstractNumId w:val="11"/>
  </w:num>
  <w:num w:numId="13">
    <w:abstractNumId w:val="16"/>
  </w:num>
  <w:num w:numId="14">
    <w:abstractNumId w:val="5"/>
  </w:num>
  <w:num w:numId="15">
    <w:abstractNumId w:val="3"/>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W4RmlN+WSOrS7jK72uTqGyq9GVLIvbMI+Hb+Iq5c23LRf5Pqts11gEIYAtzlTlK9j8mhH93W0bBq5HSu6ysIg==" w:salt="xbuDJHyk0WL2s5AUnABi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ljNDFlMDY3NDYyNWM4ZDA4YWQ5N2Q5NWQ1MGQzZTQifQ=="/>
    <w:docVar w:name="currentStyleCount" w:val="5"/>
  </w:docVars>
  <w:rsids>
    <w:rsidRoot w:val="00035925"/>
    <w:rsid w:val="00000244"/>
    <w:rsid w:val="00000BB3"/>
    <w:rsid w:val="0000185F"/>
    <w:rsid w:val="00004B91"/>
    <w:rsid w:val="00004E32"/>
    <w:rsid w:val="0000586F"/>
    <w:rsid w:val="00013D86"/>
    <w:rsid w:val="00013E02"/>
    <w:rsid w:val="0002143C"/>
    <w:rsid w:val="00023E1C"/>
    <w:rsid w:val="00025A65"/>
    <w:rsid w:val="00026C31"/>
    <w:rsid w:val="00027280"/>
    <w:rsid w:val="00031CD1"/>
    <w:rsid w:val="000320A7"/>
    <w:rsid w:val="000325EA"/>
    <w:rsid w:val="00035925"/>
    <w:rsid w:val="00036C2C"/>
    <w:rsid w:val="00045A7C"/>
    <w:rsid w:val="00055371"/>
    <w:rsid w:val="00056A24"/>
    <w:rsid w:val="00057CE5"/>
    <w:rsid w:val="000607A3"/>
    <w:rsid w:val="000657F7"/>
    <w:rsid w:val="00067CDF"/>
    <w:rsid w:val="00074FBE"/>
    <w:rsid w:val="0007762A"/>
    <w:rsid w:val="00081F6E"/>
    <w:rsid w:val="00083A09"/>
    <w:rsid w:val="000879D0"/>
    <w:rsid w:val="0009005E"/>
    <w:rsid w:val="000918A9"/>
    <w:rsid w:val="00092001"/>
    <w:rsid w:val="00092618"/>
    <w:rsid w:val="00092857"/>
    <w:rsid w:val="00092BD8"/>
    <w:rsid w:val="000964C7"/>
    <w:rsid w:val="000979D9"/>
    <w:rsid w:val="000A20A9"/>
    <w:rsid w:val="000A48B1"/>
    <w:rsid w:val="000B04EA"/>
    <w:rsid w:val="000B2F0E"/>
    <w:rsid w:val="000B3143"/>
    <w:rsid w:val="000B405D"/>
    <w:rsid w:val="000C2BE6"/>
    <w:rsid w:val="000C6B05"/>
    <w:rsid w:val="000C6DD6"/>
    <w:rsid w:val="000C73D4"/>
    <w:rsid w:val="000D3D4C"/>
    <w:rsid w:val="000D4F51"/>
    <w:rsid w:val="000D718B"/>
    <w:rsid w:val="000E0C46"/>
    <w:rsid w:val="000E15EE"/>
    <w:rsid w:val="000F030C"/>
    <w:rsid w:val="000F129C"/>
    <w:rsid w:val="000F174F"/>
    <w:rsid w:val="00104E29"/>
    <w:rsid w:val="001056DE"/>
    <w:rsid w:val="001124C0"/>
    <w:rsid w:val="00117A25"/>
    <w:rsid w:val="00121293"/>
    <w:rsid w:val="0012404F"/>
    <w:rsid w:val="0013175F"/>
    <w:rsid w:val="0013364D"/>
    <w:rsid w:val="001343BB"/>
    <w:rsid w:val="001512B4"/>
    <w:rsid w:val="001620A5"/>
    <w:rsid w:val="00164E53"/>
    <w:rsid w:val="0016699D"/>
    <w:rsid w:val="001670D9"/>
    <w:rsid w:val="00175159"/>
    <w:rsid w:val="00175AD7"/>
    <w:rsid w:val="00176208"/>
    <w:rsid w:val="0017780C"/>
    <w:rsid w:val="001813B2"/>
    <w:rsid w:val="0018211B"/>
    <w:rsid w:val="00183FE1"/>
    <w:rsid w:val="001840D3"/>
    <w:rsid w:val="00184782"/>
    <w:rsid w:val="00187A8A"/>
    <w:rsid w:val="001900F8"/>
    <w:rsid w:val="00191258"/>
    <w:rsid w:val="00192680"/>
    <w:rsid w:val="00193037"/>
    <w:rsid w:val="00193375"/>
    <w:rsid w:val="00193A2C"/>
    <w:rsid w:val="001A288E"/>
    <w:rsid w:val="001B6DC2"/>
    <w:rsid w:val="001B754B"/>
    <w:rsid w:val="001C149C"/>
    <w:rsid w:val="001C21AC"/>
    <w:rsid w:val="001C3689"/>
    <w:rsid w:val="001C47BA"/>
    <w:rsid w:val="001C59EA"/>
    <w:rsid w:val="001D406C"/>
    <w:rsid w:val="001D41EE"/>
    <w:rsid w:val="001D4BEB"/>
    <w:rsid w:val="001D506D"/>
    <w:rsid w:val="001D71E6"/>
    <w:rsid w:val="001E0380"/>
    <w:rsid w:val="001E0B1B"/>
    <w:rsid w:val="001E13B1"/>
    <w:rsid w:val="001E2153"/>
    <w:rsid w:val="001F3A19"/>
    <w:rsid w:val="002009E4"/>
    <w:rsid w:val="00201053"/>
    <w:rsid w:val="0020251B"/>
    <w:rsid w:val="002073D3"/>
    <w:rsid w:val="00215D48"/>
    <w:rsid w:val="0021624B"/>
    <w:rsid w:val="0022185E"/>
    <w:rsid w:val="00227FED"/>
    <w:rsid w:val="0023030A"/>
    <w:rsid w:val="00230F08"/>
    <w:rsid w:val="00234467"/>
    <w:rsid w:val="00235BE6"/>
    <w:rsid w:val="00237D8D"/>
    <w:rsid w:val="00241DA2"/>
    <w:rsid w:val="00247FEE"/>
    <w:rsid w:val="00250E7D"/>
    <w:rsid w:val="002523DB"/>
    <w:rsid w:val="002527DD"/>
    <w:rsid w:val="00252DAA"/>
    <w:rsid w:val="002565D5"/>
    <w:rsid w:val="002622C0"/>
    <w:rsid w:val="002778AE"/>
    <w:rsid w:val="0028269A"/>
    <w:rsid w:val="00283590"/>
    <w:rsid w:val="00286973"/>
    <w:rsid w:val="00287674"/>
    <w:rsid w:val="002938A4"/>
    <w:rsid w:val="00294E70"/>
    <w:rsid w:val="002954B8"/>
    <w:rsid w:val="002967B2"/>
    <w:rsid w:val="002A1924"/>
    <w:rsid w:val="002A7420"/>
    <w:rsid w:val="002A7A7E"/>
    <w:rsid w:val="002B0F12"/>
    <w:rsid w:val="002B1308"/>
    <w:rsid w:val="002B4554"/>
    <w:rsid w:val="002B707C"/>
    <w:rsid w:val="002C72D8"/>
    <w:rsid w:val="002D11FA"/>
    <w:rsid w:val="002D19A4"/>
    <w:rsid w:val="002D6352"/>
    <w:rsid w:val="002E0DDF"/>
    <w:rsid w:val="002E2906"/>
    <w:rsid w:val="002E5635"/>
    <w:rsid w:val="002E64C3"/>
    <w:rsid w:val="002E6A2C"/>
    <w:rsid w:val="002F035E"/>
    <w:rsid w:val="002F0FE8"/>
    <w:rsid w:val="002F1D8C"/>
    <w:rsid w:val="002F21DA"/>
    <w:rsid w:val="002F34B8"/>
    <w:rsid w:val="00301F39"/>
    <w:rsid w:val="00303D27"/>
    <w:rsid w:val="00305BEE"/>
    <w:rsid w:val="00313962"/>
    <w:rsid w:val="003234E0"/>
    <w:rsid w:val="00325926"/>
    <w:rsid w:val="00327A8A"/>
    <w:rsid w:val="003339A3"/>
    <w:rsid w:val="00336610"/>
    <w:rsid w:val="00341F5C"/>
    <w:rsid w:val="00343D23"/>
    <w:rsid w:val="00343F73"/>
    <w:rsid w:val="00345060"/>
    <w:rsid w:val="003451FB"/>
    <w:rsid w:val="00352629"/>
    <w:rsid w:val="0035323B"/>
    <w:rsid w:val="00353D19"/>
    <w:rsid w:val="0035785A"/>
    <w:rsid w:val="003609D2"/>
    <w:rsid w:val="00361D13"/>
    <w:rsid w:val="00363F22"/>
    <w:rsid w:val="00364940"/>
    <w:rsid w:val="00375564"/>
    <w:rsid w:val="00376489"/>
    <w:rsid w:val="00383191"/>
    <w:rsid w:val="00383ECC"/>
    <w:rsid w:val="00386DED"/>
    <w:rsid w:val="003912E7"/>
    <w:rsid w:val="00393947"/>
    <w:rsid w:val="00395141"/>
    <w:rsid w:val="003A2275"/>
    <w:rsid w:val="003A6A4F"/>
    <w:rsid w:val="003A7088"/>
    <w:rsid w:val="003B00DF"/>
    <w:rsid w:val="003B1275"/>
    <w:rsid w:val="003B1778"/>
    <w:rsid w:val="003C11CB"/>
    <w:rsid w:val="003C3017"/>
    <w:rsid w:val="003C6A77"/>
    <w:rsid w:val="003C75F3"/>
    <w:rsid w:val="003C78A3"/>
    <w:rsid w:val="003D36AB"/>
    <w:rsid w:val="003E1867"/>
    <w:rsid w:val="003E5729"/>
    <w:rsid w:val="003E724E"/>
    <w:rsid w:val="003F1D40"/>
    <w:rsid w:val="003F22BB"/>
    <w:rsid w:val="003F2A5B"/>
    <w:rsid w:val="003F4EE0"/>
    <w:rsid w:val="003F5559"/>
    <w:rsid w:val="00400473"/>
    <w:rsid w:val="00402153"/>
    <w:rsid w:val="00402E26"/>
    <w:rsid w:val="00402FC1"/>
    <w:rsid w:val="004200D9"/>
    <w:rsid w:val="00425082"/>
    <w:rsid w:val="00431DEB"/>
    <w:rsid w:val="00437EF0"/>
    <w:rsid w:val="0044259D"/>
    <w:rsid w:val="004439D9"/>
    <w:rsid w:val="00446B29"/>
    <w:rsid w:val="004524BE"/>
    <w:rsid w:val="00453F9A"/>
    <w:rsid w:val="00454CC3"/>
    <w:rsid w:val="00464903"/>
    <w:rsid w:val="00471E91"/>
    <w:rsid w:val="00474079"/>
    <w:rsid w:val="00474675"/>
    <w:rsid w:val="0047470C"/>
    <w:rsid w:val="0048005A"/>
    <w:rsid w:val="00484C88"/>
    <w:rsid w:val="004938AC"/>
    <w:rsid w:val="004A203E"/>
    <w:rsid w:val="004A35F9"/>
    <w:rsid w:val="004A4662"/>
    <w:rsid w:val="004A7E02"/>
    <w:rsid w:val="004B157A"/>
    <w:rsid w:val="004B24C1"/>
    <w:rsid w:val="004B3092"/>
    <w:rsid w:val="004B49B1"/>
    <w:rsid w:val="004B557C"/>
    <w:rsid w:val="004C292F"/>
    <w:rsid w:val="004C657F"/>
    <w:rsid w:val="004D306F"/>
    <w:rsid w:val="004D4B02"/>
    <w:rsid w:val="004E4B13"/>
    <w:rsid w:val="004E4B8C"/>
    <w:rsid w:val="004E5A47"/>
    <w:rsid w:val="005036E2"/>
    <w:rsid w:val="00504E9A"/>
    <w:rsid w:val="00510280"/>
    <w:rsid w:val="00513D73"/>
    <w:rsid w:val="005148B3"/>
    <w:rsid w:val="00514A43"/>
    <w:rsid w:val="00515E9C"/>
    <w:rsid w:val="005174E5"/>
    <w:rsid w:val="00520898"/>
    <w:rsid w:val="00522393"/>
    <w:rsid w:val="00522620"/>
    <w:rsid w:val="00525656"/>
    <w:rsid w:val="00525BF3"/>
    <w:rsid w:val="00532105"/>
    <w:rsid w:val="00534C02"/>
    <w:rsid w:val="0054044C"/>
    <w:rsid w:val="0054264B"/>
    <w:rsid w:val="00543786"/>
    <w:rsid w:val="00545A49"/>
    <w:rsid w:val="00545AB1"/>
    <w:rsid w:val="005463CC"/>
    <w:rsid w:val="00546D0D"/>
    <w:rsid w:val="0055153A"/>
    <w:rsid w:val="005533D7"/>
    <w:rsid w:val="00554B63"/>
    <w:rsid w:val="00562CF6"/>
    <w:rsid w:val="0056544B"/>
    <w:rsid w:val="00567177"/>
    <w:rsid w:val="005703DE"/>
    <w:rsid w:val="005710BC"/>
    <w:rsid w:val="005755F1"/>
    <w:rsid w:val="00582BBE"/>
    <w:rsid w:val="0058464E"/>
    <w:rsid w:val="0058650E"/>
    <w:rsid w:val="005A01CB"/>
    <w:rsid w:val="005A19A9"/>
    <w:rsid w:val="005A3DBA"/>
    <w:rsid w:val="005A58FF"/>
    <w:rsid w:val="005A5EAF"/>
    <w:rsid w:val="005A6491"/>
    <w:rsid w:val="005A64C0"/>
    <w:rsid w:val="005B1985"/>
    <w:rsid w:val="005B3C11"/>
    <w:rsid w:val="005C1C28"/>
    <w:rsid w:val="005C43D0"/>
    <w:rsid w:val="005C6DB5"/>
    <w:rsid w:val="005D3842"/>
    <w:rsid w:val="005E0C0E"/>
    <w:rsid w:val="005E19E7"/>
    <w:rsid w:val="005E2392"/>
    <w:rsid w:val="00601622"/>
    <w:rsid w:val="0061037E"/>
    <w:rsid w:val="00613FAA"/>
    <w:rsid w:val="00616C36"/>
    <w:rsid w:val="0061716C"/>
    <w:rsid w:val="006171AF"/>
    <w:rsid w:val="00617868"/>
    <w:rsid w:val="006243A1"/>
    <w:rsid w:val="00626005"/>
    <w:rsid w:val="00632E56"/>
    <w:rsid w:val="00635CBA"/>
    <w:rsid w:val="00636EFC"/>
    <w:rsid w:val="0064338B"/>
    <w:rsid w:val="00646542"/>
    <w:rsid w:val="006504F4"/>
    <w:rsid w:val="00653269"/>
    <w:rsid w:val="0065366F"/>
    <w:rsid w:val="00654BC9"/>
    <w:rsid w:val="006552FD"/>
    <w:rsid w:val="00656F0B"/>
    <w:rsid w:val="00663733"/>
    <w:rsid w:val="00663AF3"/>
    <w:rsid w:val="00666B6C"/>
    <w:rsid w:val="00677B54"/>
    <w:rsid w:val="00682682"/>
    <w:rsid w:val="00682702"/>
    <w:rsid w:val="00683F87"/>
    <w:rsid w:val="00692368"/>
    <w:rsid w:val="00695192"/>
    <w:rsid w:val="006A1E7E"/>
    <w:rsid w:val="006A2EBC"/>
    <w:rsid w:val="006A5EA0"/>
    <w:rsid w:val="006A68B4"/>
    <w:rsid w:val="006A783B"/>
    <w:rsid w:val="006A7B33"/>
    <w:rsid w:val="006B4E13"/>
    <w:rsid w:val="006B75DD"/>
    <w:rsid w:val="006C047C"/>
    <w:rsid w:val="006C3D8B"/>
    <w:rsid w:val="006C67E0"/>
    <w:rsid w:val="006C7ABA"/>
    <w:rsid w:val="006D0A13"/>
    <w:rsid w:val="006D0D60"/>
    <w:rsid w:val="006D1122"/>
    <w:rsid w:val="006D317E"/>
    <w:rsid w:val="006D3B1E"/>
    <w:rsid w:val="006D3C00"/>
    <w:rsid w:val="006E06AD"/>
    <w:rsid w:val="006E3675"/>
    <w:rsid w:val="006E4A7F"/>
    <w:rsid w:val="006F0967"/>
    <w:rsid w:val="006F2274"/>
    <w:rsid w:val="006F64A0"/>
    <w:rsid w:val="0070038F"/>
    <w:rsid w:val="007027B1"/>
    <w:rsid w:val="0070286C"/>
    <w:rsid w:val="00704DF6"/>
    <w:rsid w:val="0070651C"/>
    <w:rsid w:val="007132A3"/>
    <w:rsid w:val="00716421"/>
    <w:rsid w:val="00721419"/>
    <w:rsid w:val="00724EFB"/>
    <w:rsid w:val="00726575"/>
    <w:rsid w:val="00730310"/>
    <w:rsid w:val="00740A49"/>
    <w:rsid w:val="007419C3"/>
    <w:rsid w:val="00745CD5"/>
    <w:rsid w:val="00746559"/>
    <w:rsid w:val="007467A7"/>
    <w:rsid w:val="007469DD"/>
    <w:rsid w:val="0074741B"/>
    <w:rsid w:val="0074759E"/>
    <w:rsid w:val="007478EA"/>
    <w:rsid w:val="0075415C"/>
    <w:rsid w:val="00757097"/>
    <w:rsid w:val="00761E8B"/>
    <w:rsid w:val="00763502"/>
    <w:rsid w:val="007873A0"/>
    <w:rsid w:val="007913AB"/>
    <w:rsid w:val="007914F7"/>
    <w:rsid w:val="00795C73"/>
    <w:rsid w:val="007A4809"/>
    <w:rsid w:val="007B1625"/>
    <w:rsid w:val="007B706E"/>
    <w:rsid w:val="007B71EB"/>
    <w:rsid w:val="007C0748"/>
    <w:rsid w:val="007C6205"/>
    <w:rsid w:val="007C686A"/>
    <w:rsid w:val="007C728E"/>
    <w:rsid w:val="007D0BE0"/>
    <w:rsid w:val="007D204F"/>
    <w:rsid w:val="007D2812"/>
    <w:rsid w:val="007D2C53"/>
    <w:rsid w:val="007D3D60"/>
    <w:rsid w:val="007E1980"/>
    <w:rsid w:val="007E4B76"/>
    <w:rsid w:val="007E5043"/>
    <w:rsid w:val="007E5EA8"/>
    <w:rsid w:val="007F0CF1"/>
    <w:rsid w:val="007F12A5"/>
    <w:rsid w:val="007F2D74"/>
    <w:rsid w:val="007F3FB7"/>
    <w:rsid w:val="007F4CF1"/>
    <w:rsid w:val="007F758D"/>
    <w:rsid w:val="007F7D52"/>
    <w:rsid w:val="0080484A"/>
    <w:rsid w:val="00805589"/>
    <w:rsid w:val="008057A5"/>
    <w:rsid w:val="00805E2F"/>
    <w:rsid w:val="0080654C"/>
    <w:rsid w:val="008071C6"/>
    <w:rsid w:val="00817A00"/>
    <w:rsid w:val="00820B95"/>
    <w:rsid w:val="00825891"/>
    <w:rsid w:val="00831631"/>
    <w:rsid w:val="0083228D"/>
    <w:rsid w:val="00833D07"/>
    <w:rsid w:val="00835DB3"/>
    <w:rsid w:val="0083617B"/>
    <w:rsid w:val="00836342"/>
    <w:rsid w:val="00836A2D"/>
    <w:rsid w:val="008371BD"/>
    <w:rsid w:val="00840EBF"/>
    <w:rsid w:val="008504A8"/>
    <w:rsid w:val="00851B58"/>
    <w:rsid w:val="0085282E"/>
    <w:rsid w:val="00864937"/>
    <w:rsid w:val="0087198C"/>
    <w:rsid w:val="00872C1F"/>
    <w:rsid w:val="00873B42"/>
    <w:rsid w:val="00877CB0"/>
    <w:rsid w:val="008805AC"/>
    <w:rsid w:val="00880D1A"/>
    <w:rsid w:val="00884468"/>
    <w:rsid w:val="008856D8"/>
    <w:rsid w:val="00892E82"/>
    <w:rsid w:val="00893277"/>
    <w:rsid w:val="00895FA9"/>
    <w:rsid w:val="008A1035"/>
    <w:rsid w:val="008A6E08"/>
    <w:rsid w:val="008C0BE9"/>
    <w:rsid w:val="008C1B58"/>
    <w:rsid w:val="008C39AE"/>
    <w:rsid w:val="008C40DF"/>
    <w:rsid w:val="008C590D"/>
    <w:rsid w:val="008D447E"/>
    <w:rsid w:val="008D7566"/>
    <w:rsid w:val="008E0184"/>
    <w:rsid w:val="008E031B"/>
    <w:rsid w:val="008E0560"/>
    <w:rsid w:val="008E2D8C"/>
    <w:rsid w:val="008E7029"/>
    <w:rsid w:val="008E7EF6"/>
    <w:rsid w:val="008F1F98"/>
    <w:rsid w:val="008F2340"/>
    <w:rsid w:val="008F2790"/>
    <w:rsid w:val="008F6758"/>
    <w:rsid w:val="009040DD"/>
    <w:rsid w:val="00905B47"/>
    <w:rsid w:val="0090690F"/>
    <w:rsid w:val="00911391"/>
    <w:rsid w:val="0091331C"/>
    <w:rsid w:val="009137BD"/>
    <w:rsid w:val="0091503D"/>
    <w:rsid w:val="009279DE"/>
    <w:rsid w:val="00927AB9"/>
    <w:rsid w:val="00927B37"/>
    <w:rsid w:val="00930116"/>
    <w:rsid w:val="00930625"/>
    <w:rsid w:val="00941082"/>
    <w:rsid w:val="0094212C"/>
    <w:rsid w:val="00944853"/>
    <w:rsid w:val="0094609D"/>
    <w:rsid w:val="0095378C"/>
    <w:rsid w:val="00954689"/>
    <w:rsid w:val="0095472A"/>
    <w:rsid w:val="009557EA"/>
    <w:rsid w:val="0096085A"/>
    <w:rsid w:val="009617C9"/>
    <w:rsid w:val="00961C93"/>
    <w:rsid w:val="00962B4E"/>
    <w:rsid w:val="00965324"/>
    <w:rsid w:val="0097091E"/>
    <w:rsid w:val="009760D3"/>
    <w:rsid w:val="00977132"/>
    <w:rsid w:val="00981A4B"/>
    <w:rsid w:val="00982250"/>
    <w:rsid w:val="00982501"/>
    <w:rsid w:val="00983D33"/>
    <w:rsid w:val="009877D3"/>
    <w:rsid w:val="00994E8F"/>
    <w:rsid w:val="009951DC"/>
    <w:rsid w:val="009959BB"/>
    <w:rsid w:val="00997158"/>
    <w:rsid w:val="009A0827"/>
    <w:rsid w:val="009A3A7C"/>
    <w:rsid w:val="009A5D33"/>
    <w:rsid w:val="009A7D84"/>
    <w:rsid w:val="009B2323"/>
    <w:rsid w:val="009B2ADB"/>
    <w:rsid w:val="009B603A"/>
    <w:rsid w:val="009C2D0E"/>
    <w:rsid w:val="009C3DAC"/>
    <w:rsid w:val="009C42E0"/>
    <w:rsid w:val="009D3230"/>
    <w:rsid w:val="009D5362"/>
    <w:rsid w:val="009E1415"/>
    <w:rsid w:val="009E6116"/>
    <w:rsid w:val="009E7E25"/>
    <w:rsid w:val="00A02E43"/>
    <w:rsid w:val="00A05368"/>
    <w:rsid w:val="00A065F9"/>
    <w:rsid w:val="00A07011"/>
    <w:rsid w:val="00A07F34"/>
    <w:rsid w:val="00A22154"/>
    <w:rsid w:val="00A24058"/>
    <w:rsid w:val="00A25C38"/>
    <w:rsid w:val="00A35824"/>
    <w:rsid w:val="00A36BBE"/>
    <w:rsid w:val="00A37C20"/>
    <w:rsid w:val="00A40D9E"/>
    <w:rsid w:val="00A41DF7"/>
    <w:rsid w:val="00A420B1"/>
    <w:rsid w:val="00A42ECA"/>
    <w:rsid w:val="00A4307A"/>
    <w:rsid w:val="00A46DEF"/>
    <w:rsid w:val="00A47EBB"/>
    <w:rsid w:val="00A51CDD"/>
    <w:rsid w:val="00A563F8"/>
    <w:rsid w:val="00A56BBA"/>
    <w:rsid w:val="00A6730D"/>
    <w:rsid w:val="00A71625"/>
    <w:rsid w:val="00A71B9B"/>
    <w:rsid w:val="00A751C7"/>
    <w:rsid w:val="00A80008"/>
    <w:rsid w:val="00A84CE5"/>
    <w:rsid w:val="00A87844"/>
    <w:rsid w:val="00A9227B"/>
    <w:rsid w:val="00A97A55"/>
    <w:rsid w:val="00AA038C"/>
    <w:rsid w:val="00AA2DA3"/>
    <w:rsid w:val="00AA7A09"/>
    <w:rsid w:val="00AB3B50"/>
    <w:rsid w:val="00AC05B1"/>
    <w:rsid w:val="00AC450C"/>
    <w:rsid w:val="00AD0DF4"/>
    <w:rsid w:val="00AD340B"/>
    <w:rsid w:val="00AD356C"/>
    <w:rsid w:val="00AE2914"/>
    <w:rsid w:val="00AE6D15"/>
    <w:rsid w:val="00AE7023"/>
    <w:rsid w:val="00AE78AA"/>
    <w:rsid w:val="00AF0EF3"/>
    <w:rsid w:val="00AF1F49"/>
    <w:rsid w:val="00AF2D81"/>
    <w:rsid w:val="00B04182"/>
    <w:rsid w:val="00B05ECF"/>
    <w:rsid w:val="00B07AE3"/>
    <w:rsid w:val="00B11430"/>
    <w:rsid w:val="00B12A5D"/>
    <w:rsid w:val="00B242F4"/>
    <w:rsid w:val="00B2477A"/>
    <w:rsid w:val="00B24D1C"/>
    <w:rsid w:val="00B30072"/>
    <w:rsid w:val="00B30481"/>
    <w:rsid w:val="00B3312F"/>
    <w:rsid w:val="00B353EB"/>
    <w:rsid w:val="00B4016F"/>
    <w:rsid w:val="00B407AC"/>
    <w:rsid w:val="00B439C4"/>
    <w:rsid w:val="00B4535E"/>
    <w:rsid w:val="00B52A8C"/>
    <w:rsid w:val="00B54707"/>
    <w:rsid w:val="00B56155"/>
    <w:rsid w:val="00B62F11"/>
    <w:rsid w:val="00B63042"/>
    <w:rsid w:val="00B636A8"/>
    <w:rsid w:val="00B665C6"/>
    <w:rsid w:val="00B72AD8"/>
    <w:rsid w:val="00B74441"/>
    <w:rsid w:val="00B758A5"/>
    <w:rsid w:val="00B805AF"/>
    <w:rsid w:val="00B82BD5"/>
    <w:rsid w:val="00B869EC"/>
    <w:rsid w:val="00B9397A"/>
    <w:rsid w:val="00B9633D"/>
    <w:rsid w:val="00B967D5"/>
    <w:rsid w:val="00BA2EBE"/>
    <w:rsid w:val="00BB0F28"/>
    <w:rsid w:val="00BB458A"/>
    <w:rsid w:val="00BB693F"/>
    <w:rsid w:val="00BC5953"/>
    <w:rsid w:val="00BD00D3"/>
    <w:rsid w:val="00BD1659"/>
    <w:rsid w:val="00BD3AA9"/>
    <w:rsid w:val="00BD4A18"/>
    <w:rsid w:val="00BD6DB2"/>
    <w:rsid w:val="00BD73A1"/>
    <w:rsid w:val="00BE11CF"/>
    <w:rsid w:val="00BE21AB"/>
    <w:rsid w:val="00BE4BDD"/>
    <w:rsid w:val="00BE55CB"/>
    <w:rsid w:val="00BE7067"/>
    <w:rsid w:val="00BF3BB2"/>
    <w:rsid w:val="00BF617A"/>
    <w:rsid w:val="00C0379D"/>
    <w:rsid w:val="00C03931"/>
    <w:rsid w:val="00C05FE3"/>
    <w:rsid w:val="00C10B0F"/>
    <w:rsid w:val="00C11DA9"/>
    <w:rsid w:val="00C2136D"/>
    <w:rsid w:val="00C214EE"/>
    <w:rsid w:val="00C2314B"/>
    <w:rsid w:val="00C244A0"/>
    <w:rsid w:val="00C24971"/>
    <w:rsid w:val="00C25355"/>
    <w:rsid w:val="00C26470"/>
    <w:rsid w:val="00C26BE5"/>
    <w:rsid w:val="00C26E4D"/>
    <w:rsid w:val="00C27909"/>
    <w:rsid w:val="00C27B03"/>
    <w:rsid w:val="00C314E1"/>
    <w:rsid w:val="00C34397"/>
    <w:rsid w:val="00C40503"/>
    <w:rsid w:val="00C4095D"/>
    <w:rsid w:val="00C57A9C"/>
    <w:rsid w:val="00C601D2"/>
    <w:rsid w:val="00C65BCC"/>
    <w:rsid w:val="00C66970"/>
    <w:rsid w:val="00C71F4D"/>
    <w:rsid w:val="00C8691C"/>
    <w:rsid w:val="00C86CB4"/>
    <w:rsid w:val="00C96295"/>
    <w:rsid w:val="00C96364"/>
    <w:rsid w:val="00CA03DF"/>
    <w:rsid w:val="00CA168A"/>
    <w:rsid w:val="00CA2097"/>
    <w:rsid w:val="00CA357E"/>
    <w:rsid w:val="00CA44F9"/>
    <w:rsid w:val="00CA4A69"/>
    <w:rsid w:val="00CB722E"/>
    <w:rsid w:val="00CC3E0C"/>
    <w:rsid w:val="00CC58D3"/>
    <w:rsid w:val="00CC784D"/>
    <w:rsid w:val="00CF1E15"/>
    <w:rsid w:val="00D00A8D"/>
    <w:rsid w:val="00D03268"/>
    <w:rsid w:val="00D0337B"/>
    <w:rsid w:val="00D07777"/>
    <w:rsid w:val="00D079B2"/>
    <w:rsid w:val="00D114E9"/>
    <w:rsid w:val="00D17CD8"/>
    <w:rsid w:val="00D2527C"/>
    <w:rsid w:val="00D313B3"/>
    <w:rsid w:val="00D35B8E"/>
    <w:rsid w:val="00D40F07"/>
    <w:rsid w:val="00D429C6"/>
    <w:rsid w:val="00D47748"/>
    <w:rsid w:val="00D5178F"/>
    <w:rsid w:val="00D518DF"/>
    <w:rsid w:val="00D54CC3"/>
    <w:rsid w:val="00D6041A"/>
    <w:rsid w:val="00D61258"/>
    <w:rsid w:val="00D633EB"/>
    <w:rsid w:val="00D736AC"/>
    <w:rsid w:val="00D747AA"/>
    <w:rsid w:val="00D75A7E"/>
    <w:rsid w:val="00D82AC8"/>
    <w:rsid w:val="00D82FF7"/>
    <w:rsid w:val="00D847FE"/>
    <w:rsid w:val="00D86B9C"/>
    <w:rsid w:val="00D900CD"/>
    <w:rsid w:val="00D90A39"/>
    <w:rsid w:val="00D964EA"/>
    <w:rsid w:val="00D966D0"/>
    <w:rsid w:val="00DA0C59"/>
    <w:rsid w:val="00DA3991"/>
    <w:rsid w:val="00DA72A1"/>
    <w:rsid w:val="00DA7F95"/>
    <w:rsid w:val="00DB01F1"/>
    <w:rsid w:val="00DB3222"/>
    <w:rsid w:val="00DB7E6C"/>
    <w:rsid w:val="00DC145C"/>
    <w:rsid w:val="00DC4F68"/>
    <w:rsid w:val="00DC64B0"/>
    <w:rsid w:val="00DD252A"/>
    <w:rsid w:val="00DD5949"/>
    <w:rsid w:val="00DD5A29"/>
    <w:rsid w:val="00DD5D9D"/>
    <w:rsid w:val="00DE35CB"/>
    <w:rsid w:val="00DF0EF0"/>
    <w:rsid w:val="00DF21E9"/>
    <w:rsid w:val="00DF22C7"/>
    <w:rsid w:val="00DF5CC9"/>
    <w:rsid w:val="00E00F14"/>
    <w:rsid w:val="00E01CB8"/>
    <w:rsid w:val="00E06386"/>
    <w:rsid w:val="00E075C5"/>
    <w:rsid w:val="00E1051A"/>
    <w:rsid w:val="00E11668"/>
    <w:rsid w:val="00E118E7"/>
    <w:rsid w:val="00E122B7"/>
    <w:rsid w:val="00E21B55"/>
    <w:rsid w:val="00E221D3"/>
    <w:rsid w:val="00E24EB4"/>
    <w:rsid w:val="00E30635"/>
    <w:rsid w:val="00E320ED"/>
    <w:rsid w:val="00E33AFB"/>
    <w:rsid w:val="00E34218"/>
    <w:rsid w:val="00E4555B"/>
    <w:rsid w:val="00E46282"/>
    <w:rsid w:val="00E5216E"/>
    <w:rsid w:val="00E5529C"/>
    <w:rsid w:val="00E657C6"/>
    <w:rsid w:val="00E753FC"/>
    <w:rsid w:val="00E75D40"/>
    <w:rsid w:val="00E81965"/>
    <w:rsid w:val="00E82344"/>
    <w:rsid w:val="00E84C82"/>
    <w:rsid w:val="00E84D64"/>
    <w:rsid w:val="00E87408"/>
    <w:rsid w:val="00E914C4"/>
    <w:rsid w:val="00E934F5"/>
    <w:rsid w:val="00E96961"/>
    <w:rsid w:val="00EA72EC"/>
    <w:rsid w:val="00EB11CB"/>
    <w:rsid w:val="00EB1C71"/>
    <w:rsid w:val="00EB275A"/>
    <w:rsid w:val="00EB57CA"/>
    <w:rsid w:val="00EB63FC"/>
    <w:rsid w:val="00EB786A"/>
    <w:rsid w:val="00EC1578"/>
    <w:rsid w:val="00EC1BFC"/>
    <w:rsid w:val="00EC1C72"/>
    <w:rsid w:val="00EC3356"/>
    <w:rsid w:val="00EC3CC9"/>
    <w:rsid w:val="00EC5D85"/>
    <w:rsid w:val="00EC680A"/>
    <w:rsid w:val="00ED511C"/>
    <w:rsid w:val="00ED7229"/>
    <w:rsid w:val="00EE25CB"/>
    <w:rsid w:val="00EE2BED"/>
    <w:rsid w:val="00EE374B"/>
    <w:rsid w:val="00EE4A87"/>
    <w:rsid w:val="00EE4D1E"/>
    <w:rsid w:val="00EF2869"/>
    <w:rsid w:val="00F05D60"/>
    <w:rsid w:val="00F07224"/>
    <w:rsid w:val="00F07FD3"/>
    <w:rsid w:val="00F11BB5"/>
    <w:rsid w:val="00F1296C"/>
    <w:rsid w:val="00F1417B"/>
    <w:rsid w:val="00F1712D"/>
    <w:rsid w:val="00F17A17"/>
    <w:rsid w:val="00F208A0"/>
    <w:rsid w:val="00F2115E"/>
    <w:rsid w:val="00F27B3D"/>
    <w:rsid w:val="00F30ABD"/>
    <w:rsid w:val="00F34B99"/>
    <w:rsid w:val="00F40B02"/>
    <w:rsid w:val="00F41E81"/>
    <w:rsid w:val="00F51720"/>
    <w:rsid w:val="00F51CF2"/>
    <w:rsid w:val="00F52DAB"/>
    <w:rsid w:val="00F543F0"/>
    <w:rsid w:val="00F55E3E"/>
    <w:rsid w:val="00F57601"/>
    <w:rsid w:val="00F73F99"/>
    <w:rsid w:val="00F75F80"/>
    <w:rsid w:val="00F81D29"/>
    <w:rsid w:val="00F90BE5"/>
    <w:rsid w:val="00F91C4D"/>
    <w:rsid w:val="00F92FD9"/>
    <w:rsid w:val="00FA37B1"/>
    <w:rsid w:val="00FA3E0B"/>
    <w:rsid w:val="00FA5EF7"/>
    <w:rsid w:val="00FA6684"/>
    <w:rsid w:val="00FA731E"/>
    <w:rsid w:val="00FA7BD0"/>
    <w:rsid w:val="00FB1DCF"/>
    <w:rsid w:val="00FB2B38"/>
    <w:rsid w:val="00FB61CE"/>
    <w:rsid w:val="00FB7A07"/>
    <w:rsid w:val="00FC04CC"/>
    <w:rsid w:val="00FC2066"/>
    <w:rsid w:val="00FC6358"/>
    <w:rsid w:val="00FD1381"/>
    <w:rsid w:val="00FD320D"/>
    <w:rsid w:val="00FE1B98"/>
    <w:rsid w:val="00FE23DE"/>
    <w:rsid w:val="00FF1801"/>
    <w:rsid w:val="00FF6842"/>
    <w:rsid w:val="0C003101"/>
    <w:rsid w:val="0C514C17"/>
    <w:rsid w:val="0E4214F1"/>
    <w:rsid w:val="0E4B00B6"/>
    <w:rsid w:val="14717A98"/>
    <w:rsid w:val="171B1229"/>
    <w:rsid w:val="1C3D736A"/>
    <w:rsid w:val="202A765B"/>
    <w:rsid w:val="22E247A6"/>
    <w:rsid w:val="27947260"/>
    <w:rsid w:val="32A402E3"/>
    <w:rsid w:val="37906BD0"/>
    <w:rsid w:val="3B5A4AAB"/>
    <w:rsid w:val="42205C02"/>
    <w:rsid w:val="42A82DC3"/>
    <w:rsid w:val="47F231CD"/>
    <w:rsid w:val="5F5A2333"/>
    <w:rsid w:val="62A4743B"/>
    <w:rsid w:val="65460686"/>
    <w:rsid w:val="708964C1"/>
    <w:rsid w:val="71B05656"/>
    <w:rsid w:val="7CB52C58"/>
    <w:rsid w:val="7D114A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uiPriority="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2">
    <w:name w:val="toc 7"/>
    <w:basedOn w:val="1"/>
    <w:next w:val="1"/>
    <w:autoRedefine/>
    <w:semiHidden/>
    <w:qFormat/>
    <w:uiPriority w:val="0"/>
    <w:pPr>
      <w:tabs>
        <w:tab w:val="right" w:leader="dot" w:pos="9241"/>
      </w:tabs>
      <w:ind w:firstLine="500" w:firstLineChars="500"/>
      <w:jc w:val="left"/>
    </w:pPr>
    <w:rPr>
      <w:rFonts w:ascii="宋体"/>
      <w:szCs w:val="21"/>
    </w:rPr>
  </w:style>
  <w:style w:type="paragraph" w:styleId="3">
    <w:name w:val="index 8"/>
    <w:basedOn w:val="1"/>
    <w:next w:val="1"/>
    <w:autoRedefine/>
    <w:qFormat/>
    <w:uiPriority w:val="0"/>
    <w:pPr>
      <w:ind w:left="1680" w:hanging="210"/>
      <w:jc w:val="left"/>
    </w:pPr>
    <w:rPr>
      <w:rFonts w:ascii="Calibri" w:hAnsi="Calibri"/>
      <w:sz w:val="20"/>
      <w:szCs w:val="20"/>
    </w:rPr>
  </w:style>
  <w:style w:type="paragraph" w:styleId="4">
    <w:name w:val="caption"/>
    <w:basedOn w:val="1"/>
    <w:next w:val="1"/>
    <w:qFormat/>
    <w:uiPriority w:val="0"/>
    <w:pPr>
      <w:spacing w:before="152" w:after="160"/>
    </w:pPr>
    <w:rPr>
      <w:rFonts w:ascii="Arial" w:hAnsi="Arial" w:eastAsia="黑体" w:cs="Arial"/>
      <w:sz w:val="20"/>
      <w:szCs w:val="20"/>
    </w:rPr>
  </w:style>
  <w:style w:type="paragraph" w:styleId="5">
    <w:name w:val="index 5"/>
    <w:basedOn w:val="1"/>
    <w:next w:val="1"/>
    <w:autoRedefine/>
    <w:qFormat/>
    <w:uiPriority w:val="0"/>
    <w:pPr>
      <w:ind w:left="1050" w:hanging="210"/>
      <w:jc w:val="left"/>
    </w:pPr>
    <w:rPr>
      <w:rFonts w:ascii="Calibri" w:hAnsi="Calibri"/>
      <w:sz w:val="20"/>
      <w:szCs w:val="20"/>
    </w:rPr>
  </w:style>
  <w:style w:type="paragraph" w:styleId="6">
    <w:name w:val="Document Map"/>
    <w:basedOn w:val="1"/>
    <w:autoRedefine/>
    <w:semiHidden/>
    <w:qFormat/>
    <w:uiPriority w:val="0"/>
    <w:pPr>
      <w:shd w:val="clear" w:color="auto" w:fill="000080"/>
    </w:pPr>
  </w:style>
  <w:style w:type="paragraph" w:styleId="7">
    <w:name w:val="index 6"/>
    <w:basedOn w:val="1"/>
    <w:next w:val="1"/>
    <w:autoRedefine/>
    <w:qFormat/>
    <w:uiPriority w:val="0"/>
    <w:pPr>
      <w:ind w:left="1260" w:hanging="210"/>
      <w:jc w:val="left"/>
    </w:pPr>
    <w:rPr>
      <w:rFonts w:ascii="Calibri" w:hAnsi="Calibri"/>
      <w:sz w:val="20"/>
      <w:szCs w:val="20"/>
    </w:rPr>
  </w:style>
  <w:style w:type="paragraph" w:styleId="8">
    <w:name w:val="index 4"/>
    <w:basedOn w:val="1"/>
    <w:next w:val="1"/>
    <w:autoRedefine/>
    <w:qFormat/>
    <w:uiPriority w:val="0"/>
    <w:pPr>
      <w:ind w:left="840" w:hanging="210"/>
      <w:jc w:val="left"/>
    </w:pPr>
    <w:rPr>
      <w:rFonts w:ascii="Calibri" w:hAnsi="Calibri"/>
      <w:sz w:val="20"/>
      <w:szCs w:val="20"/>
    </w:rPr>
  </w:style>
  <w:style w:type="paragraph" w:styleId="9">
    <w:name w:val="toc 5"/>
    <w:basedOn w:val="1"/>
    <w:next w:val="1"/>
    <w:autoRedefine/>
    <w:semiHidden/>
    <w:qFormat/>
    <w:uiPriority w:val="0"/>
    <w:pPr>
      <w:tabs>
        <w:tab w:val="right" w:leader="dot" w:pos="9241"/>
      </w:tabs>
      <w:ind w:firstLine="300" w:firstLineChars="300"/>
      <w:jc w:val="left"/>
    </w:pPr>
    <w:rPr>
      <w:rFonts w:ascii="宋体"/>
      <w:szCs w:val="21"/>
    </w:rPr>
  </w:style>
  <w:style w:type="paragraph" w:styleId="10">
    <w:name w:val="toc 3"/>
    <w:basedOn w:val="1"/>
    <w:next w:val="1"/>
    <w:autoRedefine/>
    <w:semiHidden/>
    <w:qFormat/>
    <w:uiPriority w:val="0"/>
    <w:pPr>
      <w:tabs>
        <w:tab w:val="right" w:leader="dot" w:pos="9241"/>
      </w:tabs>
      <w:ind w:firstLine="100" w:firstLineChars="100"/>
      <w:jc w:val="left"/>
    </w:pPr>
    <w:rPr>
      <w:rFonts w:ascii="宋体"/>
      <w:szCs w:val="21"/>
    </w:rPr>
  </w:style>
  <w:style w:type="paragraph" w:styleId="11">
    <w:name w:val="toc 8"/>
    <w:basedOn w:val="1"/>
    <w:next w:val="1"/>
    <w:autoRedefine/>
    <w:semiHidden/>
    <w:qFormat/>
    <w:uiPriority w:val="0"/>
    <w:pPr>
      <w:tabs>
        <w:tab w:val="right" w:leader="dot" w:pos="9241"/>
      </w:tabs>
      <w:ind w:firstLine="607" w:firstLineChars="600"/>
      <w:jc w:val="left"/>
    </w:pPr>
    <w:rPr>
      <w:rFonts w:ascii="宋体"/>
      <w:szCs w:val="21"/>
    </w:rPr>
  </w:style>
  <w:style w:type="paragraph" w:styleId="12">
    <w:name w:val="index 3"/>
    <w:basedOn w:val="1"/>
    <w:next w:val="1"/>
    <w:autoRedefine/>
    <w:qFormat/>
    <w:uiPriority w:val="0"/>
    <w:pPr>
      <w:ind w:left="630" w:hanging="210"/>
      <w:jc w:val="left"/>
    </w:pPr>
    <w:rPr>
      <w:rFonts w:ascii="Calibri" w:hAnsi="Calibri"/>
      <w:sz w:val="20"/>
      <w:szCs w:val="20"/>
    </w:rPr>
  </w:style>
  <w:style w:type="paragraph" w:styleId="13">
    <w:name w:val="endnote text"/>
    <w:basedOn w:val="1"/>
    <w:autoRedefine/>
    <w:semiHidden/>
    <w:qFormat/>
    <w:uiPriority w:val="0"/>
    <w:pPr>
      <w:snapToGrid w:val="0"/>
      <w:jc w:val="left"/>
    </w:pPr>
  </w:style>
  <w:style w:type="paragraph" w:styleId="14">
    <w:name w:val="Balloon Text"/>
    <w:basedOn w:val="1"/>
    <w:link w:val="137"/>
    <w:autoRedefine/>
    <w:qFormat/>
    <w:uiPriority w:val="0"/>
    <w:rPr>
      <w:sz w:val="18"/>
      <w:szCs w:val="18"/>
    </w:rPr>
  </w:style>
  <w:style w:type="paragraph" w:styleId="15">
    <w:name w:val="footer"/>
    <w:basedOn w:val="1"/>
    <w:autoRedefine/>
    <w:qFormat/>
    <w:uiPriority w:val="0"/>
    <w:pPr>
      <w:snapToGrid w:val="0"/>
      <w:ind w:right="210" w:rightChars="100"/>
      <w:jc w:val="right"/>
    </w:pPr>
    <w:rPr>
      <w:sz w:val="18"/>
      <w:szCs w:val="18"/>
    </w:rPr>
  </w:style>
  <w:style w:type="paragraph" w:styleId="16">
    <w:name w:val="header"/>
    <w:basedOn w:val="1"/>
    <w:autoRedefine/>
    <w:qFormat/>
    <w:uiPriority w:val="0"/>
    <w:pPr>
      <w:snapToGrid w:val="0"/>
      <w:jc w:val="left"/>
    </w:pPr>
    <w:rPr>
      <w:sz w:val="18"/>
      <w:szCs w:val="18"/>
    </w:rPr>
  </w:style>
  <w:style w:type="paragraph" w:styleId="17">
    <w:name w:val="toc 1"/>
    <w:basedOn w:val="1"/>
    <w:next w:val="1"/>
    <w:autoRedefine/>
    <w:qFormat/>
    <w:uiPriority w:val="39"/>
    <w:pPr>
      <w:tabs>
        <w:tab w:val="right" w:leader="dot" w:pos="9242"/>
      </w:tabs>
      <w:spacing w:beforeLines="25" w:afterLines="25"/>
      <w:jc w:val="left"/>
    </w:pPr>
    <w:rPr>
      <w:rFonts w:ascii="宋体"/>
      <w:szCs w:val="21"/>
    </w:rPr>
  </w:style>
  <w:style w:type="paragraph" w:styleId="18">
    <w:name w:val="toc 4"/>
    <w:basedOn w:val="1"/>
    <w:next w:val="1"/>
    <w:autoRedefine/>
    <w:semiHidden/>
    <w:qFormat/>
    <w:uiPriority w:val="0"/>
    <w:pPr>
      <w:tabs>
        <w:tab w:val="right" w:leader="dot" w:pos="9241"/>
      </w:tabs>
      <w:ind w:firstLine="200" w:firstLineChars="200"/>
      <w:jc w:val="left"/>
    </w:pPr>
    <w:rPr>
      <w:rFonts w:ascii="宋体"/>
      <w:szCs w:val="21"/>
    </w:rPr>
  </w:style>
  <w:style w:type="paragraph" w:styleId="19">
    <w:name w:val="index heading"/>
    <w:basedOn w:val="1"/>
    <w:next w:val="20"/>
    <w:autoRedefine/>
    <w:qFormat/>
    <w:uiPriority w:val="0"/>
    <w:pPr>
      <w:spacing w:before="120" w:after="120"/>
      <w:jc w:val="center"/>
    </w:pPr>
    <w:rPr>
      <w:rFonts w:ascii="Calibri" w:hAnsi="Calibri"/>
      <w:b/>
      <w:bCs/>
      <w:iCs/>
      <w:szCs w:val="20"/>
    </w:rPr>
  </w:style>
  <w:style w:type="paragraph" w:styleId="20">
    <w:name w:val="index 1"/>
    <w:basedOn w:val="1"/>
    <w:next w:val="21"/>
    <w:autoRedefine/>
    <w:qFormat/>
    <w:uiPriority w:val="0"/>
    <w:pPr>
      <w:tabs>
        <w:tab w:val="right" w:leader="dot" w:pos="9299"/>
      </w:tabs>
      <w:jc w:val="left"/>
    </w:pPr>
    <w:rPr>
      <w:rFonts w:ascii="宋体"/>
      <w:szCs w:val="21"/>
    </w:rPr>
  </w:style>
  <w:style w:type="paragraph" w:customStyle="1" w:styleId="21">
    <w:name w:val="段"/>
    <w:link w:val="37"/>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2">
    <w:name w:val="footnote text"/>
    <w:basedOn w:val="1"/>
    <w:autoRedefine/>
    <w:qFormat/>
    <w:uiPriority w:val="0"/>
    <w:pPr>
      <w:numPr>
        <w:ilvl w:val="0"/>
        <w:numId w:val="1"/>
      </w:numPr>
      <w:snapToGrid w:val="0"/>
      <w:jc w:val="left"/>
    </w:pPr>
    <w:rPr>
      <w:rFonts w:ascii="宋体"/>
      <w:sz w:val="18"/>
      <w:szCs w:val="18"/>
    </w:rPr>
  </w:style>
  <w:style w:type="paragraph" w:styleId="23">
    <w:name w:val="toc 6"/>
    <w:basedOn w:val="1"/>
    <w:next w:val="1"/>
    <w:autoRedefine/>
    <w:semiHidden/>
    <w:qFormat/>
    <w:uiPriority w:val="0"/>
    <w:pPr>
      <w:tabs>
        <w:tab w:val="right" w:leader="dot" w:pos="9241"/>
      </w:tabs>
      <w:ind w:firstLine="400" w:firstLineChars="400"/>
      <w:jc w:val="left"/>
    </w:pPr>
    <w:rPr>
      <w:rFonts w:ascii="宋体"/>
      <w:szCs w:val="21"/>
    </w:rPr>
  </w:style>
  <w:style w:type="paragraph" w:styleId="24">
    <w:name w:val="index 7"/>
    <w:basedOn w:val="1"/>
    <w:next w:val="1"/>
    <w:autoRedefine/>
    <w:qFormat/>
    <w:uiPriority w:val="0"/>
    <w:pPr>
      <w:ind w:left="1470" w:hanging="210"/>
      <w:jc w:val="left"/>
    </w:pPr>
    <w:rPr>
      <w:rFonts w:ascii="Calibri" w:hAnsi="Calibri"/>
      <w:sz w:val="20"/>
      <w:szCs w:val="20"/>
    </w:rPr>
  </w:style>
  <w:style w:type="paragraph" w:styleId="25">
    <w:name w:val="index 9"/>
    <w:basedOn w:val="1"/>
    <w:next w:val="1"/>
    <w:autoRedefine/>
    <w:qFormat/>
    <w:uiPriority w:val="0"/>
    <w:pPr>
      <w:ind w:left="1890" w:hanging="210"/>
      <w:jc w:val="left"/>
    </w:pPr>
    <w:rPr>
      <w:rFonts w:ascii="Calibri" w:hAnsi="Calibri"/>
      <w:sz w:val="20"/>
      <w:szCs w:val="20"/>
    </w:rPr>
  </w:style>
  <w:style w:type="paragraph" w:styleId="26">
    <w:name w:val="toc 2"/>
    <w:basedOn w:val="1"/>
    <w:next w:val="1"/>
    <w:autoRedefine/>
    <w:semiHidden/>
    <w:qFormat/>
    <w:uiPriority w:val="0"/>
    <w:pPr>
      <w:tabs>
        <w:tab w:val="right" w:leader="dot" w:pos="9242"/>
      </w:tabs>
    </w:pPr>
    <w:rPr>
      <w:rFonts w:ascii="宋体"/>
      <w:szCs w:val="21"/>
    </w:rPr>
  </w:style>
  <w:style w:type="paragraph" w:styleId="27">
    <w:name w:val="toc 9"/>
    <w:basedOn w:val="1"/>
    <w:next w:val="1"/>
    <w:autoRedefine/>
    <w:semiHidden/>
    <w:qFormat/>
    <w:uiPriority w:val="0"/>
    <w:pPr>
      <w:ind w:left="1470"/>
      <w:jc w:val="left"/>
    </w:pPr>
    <w:rPr>
      <w:sz w:val="20"/>
      <w:szCs w:val="20"/>
    </w:rPr>
  </w:style>
  <w:style w:type="paragraph" w:styleId="28">
    <w:name w:val="index 2"/>
    <w:basedOn w:val="1"/>
    <w:next w:val="1"/>
    <w:autoRedefine/>
    <w:qFormat/>
    <w:uiPriority w:val="0"/>
    <w:pPr>
      <w:ind w:left="420" w:hanging="210"/>
      <w:jc w:val="left"/>
    </w:pPr>
    <w:rPr>
      <w:rFonts w:ascii="Calibri" w:hAnsi="Calibri"/>
      <w:sz w:val="20"/>
      <w:szCs w:val="20"/>
    </w:rPr>
  </w:style>
  <w:style w:type="table" w:styleId="30">
    <w:name w:val="Table Grid"/>
    <w:basedOn w:val="29"/>
    <w:autoRedefine/>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2">
    <w:name w:val="endnote reference"/>
    <w:autoRedefine/>
    <w:semiHidden/>
    <w:qFormat/>
    <w:uiPriority w:val="0"/>
    <w:rPr>
      <w:vertAlign w:val="superscript"/>
    </w:rPr>
  </w:style>
  <w:style w:type="character" w:styleId="33">
    <w:name w:val="page number"/>
    <w:autoRedefine/>
    <w:qFormat/>
    <w:uiPriority w:val="0"/>
    <w:rPr>
      <w:rFonts w:ascii="Times New Roman" w:hAnsi="Times New Roman" w:eastAsia="宋体"/>
      <w:sz w:val="18"/>
    </w:rPr>
  </w:style>
  <w:style w:type="character" w:styleId="34">
    <w:name w:val="FollowedHyperlink"/>
    <w:autoRedefine/>
    <w:qFormat/>
    <w:uiPriority w:val="0"/>
    <w:rPr>
      <w:color w:val="800080"/>
      <w:u w:val="single"/>
    </w:rPr>
  </w:style>
  <w:style w:type="character" w:styleId="35">
    <w:name w:val="Hyperlink"/>
    <w:autoRedefine/>
    <w:qFormat/>
    <w:uiPriority w:val="99"/>
    <w:rPr>
      <w:color w:val="0000FF"/>
      <w:spacing w:val="0"/>
      <w:w w:val="100"/>
      <w:szCs w:val="21"/>
      <w:u w:val="single"/>
    </w:rPr>
  </w:style>
  <w:style w:type="character" w:styleId="36">
    <w:name w:val="footnote reference"/>
    <w:autoRedefine/>
    <w:semiHidden/>
    <w:qFormat/>
    <w:uiPriority w:val="0"/>
    <w:rPr>
      <w:vertAlign w:val="superscript"/>
    </w:rPr>
  </w:style>
  <w:style w:type="character" w:customStyle="1" w:styleId="37">
    <w:name w:val="段 Char"/>
    <w:link w:val="21"/>
    <w:autoRedefine/>
    <w:qFormat/>
    <w:uiPriority w:val="0"/>
    <w:rPr>
      <w:rFonts w:ascii="宋体"/>
      <w:sz w:val="21"/>
      <w:lang w:val="en-US" w:eastAsia="zh-CN" w:bidi="ar-SA"/>
    </w:rPr>
  </w:style>
  <w:style w:type="paragraph" w:customStyle="1" w:styleId="38">
    <w:name w:val="一级条标题"/>
    <w:next w:val="21"/>
    <w:autoRedefine/>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39">
    <w:name w:val="标准书脚_奇数页"/>
    <w:autoRedefine/>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0">
    <w:name w:val="标准书眉_奇数页"/>
    <w:next w:val="1"/>
    <w:autoRedefine/>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1">
    <w:name w:val="章标题"/>
    <w:next w:val="21"/>
    <w:autoRedefine/>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42">
    <w:name w:val="二级条标题"/>
    <w:basedOn w:val="38"/>
    <w:next w:val="21"/>
    <w:autoRedefine/>
    <w:qFormat/>
    <w:uiPriority w:val="0"/>
    <w:pPr>
      <w:numPr>
        <w:ilvl w:val="2"/>
      </w:numPr>
      <w:spacing w:before="50" w:after="50"/>
      <w:outlineLvl w:val="3"/>
    </w:pPr>
  </w:style>
  <w:style w:type="paragraph" w:customStyle="1" w:styleId="43">
    <w:name w:val="封面标准号2"/>
    <w:autoRedefine/>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4">
    <w:name w:val="列项——（一级）"/>
    <w:autoRedefine/>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45">
    <w:name w:val="列项●（二级）"/>
    <w:autoRedefine/>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46">
    <w:name w:val="目次、标准名称标题"/>
    <w:basedOn w:val="1"/>
    <w:next w:val="21"/>
    <w:link w:val="135"/>
    <w:autoRedefine/>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47">
    <w:name w:val="三级条标题"/>
    <w:basedOn w:val="42"/>
    <w:next w:val="21"/>
    <w:autoRedefine/>
    <w:qFormat/>
    <w:uiPriority w:val="0"/>
    <w:pPr>
      <w:numPr>
        <w:ilvl w:val="3"/>
      </w:numPr>
      <w:outlineLvl w:val="4"/>
    </w:pPr>
  </w:style>
  <w:style w:type="paragraph" w:customStyle="1" w:styleId="48">
    <w:name w:val="示例"/>
    <w:next w:val="49"/>
    <w:autoRedefine/>
    <w:qFormat/>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49">
    <w:name w:val="示例内容"/>
    <w:autoRedefine/>
    <w:qFormat/>
    <w:uiPriority w:val="0"/>
    <w:pPr>
      <w:ind w:firstLine="200" w:firstLineChars="200"/>
    </w:pPr>
    <w:rPr>
      <w:rFonts w:ascii="宋体" w:hAnsi="Times New Roman" w:eastAsia="宋体" w:cs="Times New Roman"/>
      <w:sz w:val="18"/>
      <w:szCs w:val="18"/>
      <w:lang w:val="en-US" w:eastAsia="zh-CN" w:bidi="ar-SA"/>
    </w:rPr>
  </w:style>
  <w:style w:type="paragraph" w:customStyle="1" w:styleId="50">
    <w:name w:val="数字编号列项（二级）"/>
    <w:autoRedefine/>
    <w:qFormat/>
    <w:uiPriority w:val="0"/>
    <w:pPr>
      <w:numPr>
        <w:ilvl w:val="1"/>
        <w:numId w:val="5"/>
      </w:numPr>
      <w:jc w:val="both"/>
    </w:pPr>
    <w:rPr>
      <w:rFonts w:ascii="宋体" w:hAnsi="Times New Roman" w:eastAsia="宋体" w:cs="Times New Roman"/>
      <w:sz w:val="21"/>
      <w:lang w:val="en-US" w:eastAsia="zh-CN" w:bidi="ar-SA"/>
    </w:rPr>
  </w:style>
  <w:style w:type="paragraph" w:customStyle="1" w:styleId="51">
    <w:name w:val="四级条标题"/>
    <w:basedOn w:val="47"/>
    <w:next w:val="21"/>
    <w:autoRedefine/>
    <w:qFormat/>
    <w:uiPriority w:val="0"/>
    <w:pPr>
      <w:numPr>
        <w:ilvl w:val="4"/>
      </w:numPr>
      <w:outlineLvl w:val="5"/>
    </w:pPr>
  </w:style>
  <w:style w:type="paragraph" w:customStyle="1" w:styleId="52">
    <w:name w:val="五级条标题"/>
    <w:basedOn w:val="51"/>
    <w:next w:val="21"/>
    <w:autoRedefine/>
    <w:qFormat/>
    <w:uiPriority w:val="0"/>
    <w:pPr>
      <w:numPr>
        <w:ilvl w:val="5"/>
      </w:numPr>
      <w:outlineLvl w:val="6"/>
    </w:pPr>
  </w:style>
  <w:style w:type="paragraph" w:customStyle="1" w:styleId="53">
    <w:name w:val="注："/>
    <w:next w:val="21"/>
    <w:autoRedefine/>
    <w:qFormat/>
    <w:uiPriority w:val="0"/>
    <w:pPr>
      <w:widowControl w:val="0"/>
      <w:numPr>
        <w:ilvl w:val="0"/>
        <w:numId w:val="6"/>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54">
    <w:name w:val="注×："/>
    <w:autoRedefine/>
    <w:qFormat/>
    <w:uiPriority w:val="0"/>
    <w:pPr>
      <w:widowControl w:val="0"/>
      <w:numPr>
        <w:ilvl w:val="0"/>
        <w:numId w:val="7"/>
      </w:numPr>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55">
    <w:name w:val="字母编号列项（一级）"/>
    <w:autoRedefine/>
    <w:qFormat/>
    <w:uiPriority w:val="0"/>
    <w:pPr>
      <w:numPr>
        <w:ilvl w:val="0"/>
        <w:numId w:val="5"/>
      </w:numPr>
      <w:jc w:val="both"/>
    </w:pPr>
    <w:rPr>
      <w:rFonts w:ascii="宋体" w:hAnsi="Times New Roman" w:eastAsia="宋体" w:cs="Times New Roman"/>
      <w:sz w:val="21"/>
      <w:lang w:val="en-US" w:eastAsia="zh-CN" w:bidi="ar-SA"/>
    </w:rPr>
  </w:style>
  <w:style w:type="paragraph" w:customStyle="1" w:styleId="56">
    <w:name w:val="列项◆（三级）"/>
    <w:basedOn w:val="1"/>
    <w:autoRedefine/>
    <w:qFormat/>
    <w:uiPriority w:val="0"/>
    <w:pPr>
      <w:numPr>
        <w:ilvl w:val="2"/>
        <w:numId w:val="3"/>
      </w:numPr>
    </w:pPr>
    <w:rPr>
      <w:rFonts w:ascii="宋体"/>
      <w:szCs w:val="21"/>
    </w:rPr>
  </w:style>
  <w:style w:type="paragraph" w:customStyle="1" w:styleId="57">
    <w:name w:val="编号列项（三级）"/>
    <w:autoRedefine/>
    <w:qFormat/>
    <w:uiPriority w:val="0"/>
    <w:pPr>
      <w:numPr>
        <w:ilvl w:val="2"/>
        <w:numId w:val="5"/>
      </w:numPr>
    </w:pPr>
    <w:rPr>
      <w:rFonts w:ascii="宋体" w:hAnsi="Times New Roman" w:eastAsia="宋体" w:cs="Times New Roman"/>
      <w:sz w:val="21"/>
      <w:lang w:val="en-US" w:eastAsia="zh-CN" w:bidi="ar-SA"/>
    </w:rPr>
  </w:style>
  <w:style w:type="paragraph" w:customStyle="1" w:styleId="58">
    <w:name w:val="示例×："/>
    <w:basedOn w:val="41"/>
    <w:autoRedefine/>
    <w:qFormat/>
    <w:uiPriority w:val="0"/>
    <w:pPr>
      <w:numPr>
        <w:numId w:val="8"/>
      </w:numPr>
      <w:spacing w:beforeLines="0" w:afterLines="0"/>
      <w:outlineLvl w:val="9"/>
    </w:pPr>
    <w:rPr>
      <w:rFonts w:ascii="宋体" w:eastAsia="宋体"/>
      <w:sz w:val="18"/>
      <w:szCs w:val="18"/>
    </w:rPr>
  </w:style>
  <w:style w:type="paragraph" w:customStyle="1" w:styleId="59">
    <w:name w:val="二级无"/>
    <w:basedOn w:val="42"/>
    <w:autoRedefine/>
    <w:qFormat/>
    <w:uiPriority w:val="0"/>
    <w:pPr>
      <w:spacing w:beforeLines="0" w:afterLines="0"/>
    </w:pPr>
    <w:rPr>
      <w:rFonts w:ascii="宋体" w:eastAsia="宋体"/>
    </w:rPr>
  </w:style>
  <w:style w:type="paragraph" w:customStyle="1" w:styleId="60">
    <w:name w:val="注：（正文）"/>
    <w:basedOn w:val="53"/>
    <w:next w:val="21"/>
    <w:autoRedefine/>
    <w:qFormat/>
    <w:uiPriority w:val="0"/>
    <w:pPr>
      <w:numPr>
        <w:numId w:val="9"/>
      </w:numPr>
      <w:ind w:left="726" w:hanging="363"/>
    </w:pPr>
  </w:style>
  <w:style w:type="paragraph" w:customStyle="1" w:styleId="61">
    <w:name w:val="注×：（正文）"/>
    <w:autoRedefine/>
    <w:qFormat/>
    <w:uiPriority w:val="0"/>
    <w:pPr>
      <w:numPr>
        <w:ilvl w:val="0"/>
        <w:numId w:val="10"/>
      </w:numPr>
      <w:ind w:left="811" w:hanging="448"/>
      <w:jc w:val="both"/>
    </w:pPr>
    <w:rPr>
      <w:rFonts w:ascii="宋体" w:hAnsi="Times New Roman" w:eastAsia="宋体" w:cs="Times New Roman"/>
      <w:sz w:val="18"/>
      <w:szCs w:val="18"/>
      <w:lang w:val="en-US" w:eastAsia="zh-CN" w:bidi="ar-SA"/>
    </w:rPr>
  </w:style>
  <w:style w:type="paragraph" w:customStyle="1" w:styleId="62">
    <w:name w:val="标准标志"/>
    <w:next w:val="1"/>
    <w:autoRedefine/>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63">
    <w:name w:val="标准称谓"/>
    <w:next w:val="1"/>
    <w:autoRedefine/>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64">
    <w:name w:val="标准书脚_偶数页"/>
    <w:autoRedefine/>
    <w:qFormat/>
    <w:uiPriority w:val="0"/>
    <w:pPr>
      <w:spacing w:before="120"/>
      <w:ind w:left="221"/>
    </w:pPr>
    <w:rPr>
      <w:rFonts w:ascii="宋体" w:hAnsi="Times New Roman" w:eastAsia="宋体" w:cs="Times New Roman"/>
      <w:sz w:val="18"/>
      <w:szCs w:val="18"/>
      <w:lang w:val="en-US" w:eastAsia="zh-CN" w:bidi="ar-SA"/>
    </w:rPr>
  </w:style>
  <w:style w:type="paragraph" w:customStyle="1" w:styleId="65">
    <w:name w:val="标准书眉_偶数页"/>
    <w:basedOn w:val="40"/>
    <w:next w:val="1"/>
    <w:autoRedefine/>
    <w:qFormat/>
    <w:uiPriority w:val="0"/>
    <w:pPr>
      <w:jc w:val="left"/>
    </w:pPr>
  </w:style>
  <w:style w:type="paragraph" w:customStyle="1" w:styleId="66">
    <w:name w:val="标准书眉一"/>
    <w:autoRedefine/>
    <w:qFormat/>
    <w:uiPriority w:val="0"/>
    <w:pPr>
      <w:jc w:val="both"/>
    </w:pPr>
    <w:rPr>
      <w:rFonts w:ascii="Times New Roman" w:hAnsi="Times New Roman" w:eastAsia="宋体" w:cs="Times New Roman"/>
      <w:lang w:val="en-US" w:eastAsia="zh-CN" w:bidi="ar-SA"/>
    </w:rPr>
  </w:style>
  <w:style w:type="paragraph" w:customStyle="1" w:styleId="67">
    <w:name w:val="参考文献"/>
    <w:basedOn w:val="1"/>
    <w:next w:val="21"/>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8">
    <w:name w:val="参考文献、索引标题"/>
    <w:basedOn w:val="1"/>
    <w:next w:val="21"/>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69">
    <w:name w:val="发布"/>
    <w:autoRedefine/>
    <w:qFormat/>
    <w:uiPriority w:val="0"/>
    <w:rPr>
      <w:rFonts w:ascii="黑体" w:eastAsia="黑体"/>
      <w:spacing w:val="85"/>
      <w:w w:val="100"/>
      <w:position w:val="3"/>
      <w:sz w:val="28"/>
      <w:szCs w:val="28"/>
    </w:rPr>
  </w:style>
  <w:style w:type="paragraph" w:customStyle="1" w:styleId="70">
    <w:name w:val="发布部门"/>
    <w:next w:val="21"/>
    <w:autoRedefine/>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1">
    <w:name w:val="发布日期"/>
    <w:autoRedefine/>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72">
    <w:name w:val="封面标准代替信息"/>
    <w:autoRedefine/>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73">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4">
    <w:name w:val="封面标准名称"/>
    <w:autoRedefine/>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5">
    <w:name w:val="封面标准英文名称"/>
    <w:basedOn w:val="74"/>
    <w:autoRedefine/>
    <w:qFormat/>
    <w:uiPriority w:val="0"/>
    <w:pPr>
      <w:framePr w:wrap="around"/>
      <w:spacing w:before="370" w:line="400" w:lineRule="exact"/>
    </w:pPr>
    <w:rPr>
      <w:rFonts w:ascii="Times New Roman"/>
      <w:sz w:val="28"/>
      <w:szCs w:val="28"/>
    </w:rPr>
  </w:style>
  <w:style w:type="paragraph" w:customStyle="1" w:styleId="76">
    <w:name w:val="封面一致性程度标识"/>
    <w:basedOn w:val="75"/>
    <w:autoRedefine/>
    <w:qFormat/>
    <w:uiPriority w:val="0"/>
    <w:pPr>
      <w:framePr w:wrap="around"/>
      <w:spacing w:before="440"/>
    </w:pPr>
    <w:rPr>
      <w:rFonts w:ascii="宋体" w:eastAsia="宋体"/>
    </w:rPr>
  </w:style>
  <w:style w:type="paragraph" w:customStyle="1" w:styleId="77">
    <w:name w:val="封面标准文稿类别"/>
    <w:basedOn w:val="76"/>
    <w:autoRedefine/>
    <w:qFormat/>
    <w:uiPriority w:val="0"/>
    <w:pPr>
      <w:framePr w:wrap="around"/>
      <w:spacing w:after="160" w:line="240" w:lineRule="auto"/>
    </w:pPr>
    <w:rPr>
      <w:sz w:val="24"/>
    </w:rPr>
  </w:style>
  <w:style w:type="paragraph" w:customStyle="1" w:styleId="78">
    <w:name w:val="封面标准文稿编辑信息"/>
    <w:basedOn w:val="77"/>
    <w:autoRedefine/>
    <w:qFormat/>
    <w:uiPriority w:val="0"/>
    <w:pPr>
      <w:framePr w:wrap="around"/>
      <w:spacing w:before="180" w:line="180" w:lineRule="exact"/>
    </w:pPr>
    <w:rPr>
      <w:sz w:val="21"/>
    </w:rPr>
  </w:style>
  <w:style w:type="paragraph" w:customStyle="1" w:styleId="79">
    <w:name w:val="封面正文"/>
    <w:autoRedefine/>
    <w:qFormat/>
    <w:uiPriority w:val="0"/>
    <w:pPr>
      <w:jc w:val="both"/>
    </w:pPr>
    <w:rPr>
      <w:rFonts w:ascii="Times New Roman" w:hAnsi="Times New Roman" w:eastAsia="宋体" w:cs="Times New Roman"/>
      <w:lang w:val="en-US" w:eastAsia="zh-CN" w:bidi="ar-SA"/>
    </w:rPr>
  </w:style>
  <w:style w:type="paragraph" w:customStyle="1" w:styleId="80">
    <w:name w:val="附录标识"/>
    <w:basedOn w:val="1"/>
    <w:next w:val="21"/>
    <w:autoRedefine/>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1">
    <w:name w:val="附录标题"/>
    <w:basedOn w:val="21"/>
    <w:next w:val="21"/>
    <w:autoRedefine/>
    <w:qFormat/>
    <w:uiPriority w:val="0"/>
    <w:pPr>
      <w:ind w:firstLine="0" w:firstLineChars="0"/>
      <w:jc w:val="center"/>
    </w:pPr>
    <w:rPr>
      <w:rFonts w:ascii="黑体" w:eastAsia="黑体"/>
    </w:rPr>
  </w:style>
  <w:style w:type="paragraph" w:customStyle="1" w:styleId="82">
    <w:name w:val="附录表标号"/>
    <w:basedOn w:val="1"/>
    <w:next w:val="21"/>
    <w:autoRedefine/>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83">
    <w:name w:val="附录表标题"/>
    <w:basedOn w:val="1"/>
    <w:next w:val="21"/>
    <w:autoRedefine/>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84">
    <w:name w:val="附录二级条标题"/>
    <w:basedOn w:val="1"/>
    <w:next w:val="21"/>
    <w:autoRedefine/>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85">
    <w:name w:val="附录二级无"/>
    <w:basedOn w:val="84"/>
    <w:autoRedefine/>
    <w:qFormat/>
    <w:uiPriority w:val="0"/>
    <w:pPr>
      <w:tabs>
        <w:tab w:val="clear" w:pos="360"/>
      </w:tabs>
      <w:spacing w:beforeLines="0" w:afterLines="0"/>
    </w:pPr>
    <w:rPr>
      <w:rFonts w:ascii="宋体" w:eastAsia="宋体"/>
      <w:szCs w:val="21"/>
    </w:rPr>
  </w:style>
  <w:style w:type="paragraph" w:customStyle="1" w:styleId="86">
    <w:name w:val="附录公式"/>
    <w:basedOn w:val="21"/>
    <w:next w:val="21"/>
    <w:link w:val="87"/>
    <w:autoRedefine/>
    <w:qFormat/>
    <w:uiPriority w:val="0"/>
  </w:style>
  <w:style w:type="character" w:customStyle="1" w:styleId="87">
    <w:name w:val="附录公式 Char"/>
    <w:basedOn w:val="37"/>
    <w:link w:val="86"/>
    <w:autoRedefine/>
    <w:qFormat/>
    <w:uiPriority w:val="0"/>
    <w:rPr>
      <w:rFonts w:ascii="宋体"/>
      <w:sz w:val="21"/>
      <w:lang w:val="en-US" w:eastAsia="zh-CN" w:bidi="ar-SA"/>
    </w:rPr>
  </w:style>
  <w:style w:type="paragraph" w:customStyle="1" w:styleId="88">
    <w:name w:val="附录公式编号制表符"/>
    <w:basedOn w:val="1"/>
    <w:next w:val="21"/>
    <w:autoRedefine/>
    <w:qFormat/>
    <w:uiPriority w:val="0"/>
    <w:pPr>
      <w:widowControl/>
      <w:tabs>
        <w:tab w:val="center" w:pos="4201"/>
        <w:tab w:val="right" w:leader="dot" w:pos="9298"/>
      </w:tabs>
      <w:autoSpaceDE w:val="0"/>
      <w:autoSpaceDN w:val="0"/>
    </w:pPr>
    <w:rPr>
      <w:rFonts w:ascii="宋体"/>
      <w:kern w:val="0"/>
      <w:szCs w:val="20"/>
    </w:rPr>
  </w:style>
  <w:style w:type="paragraph" w:customStyle="1" w:styleId="89">
    <w:name w:val="附录三级条标题"/>
    <w:basedOn w:val="84"/>
    <w:next w:val="21"/>
    <w:autoRedefine/>
    <w:qFormat/>
    <w:uiPriority w:val="0"/>
    <w:pPr>
      <w:numPr>
        <w:ilvl w:val="4"/>
      </w:numPr>
      <w:outlineLvl w:val="4"/>
    </w:pPr>
  </w:style>
  <w:style w:type="paragraph" w:customStyle="1" w:styleId="90">
    <w:name w:val="附录三级无"/>
    <w:basedOn w:val="89"/>
    <w:autoRedefine/>
    <w:qFormat/>
    <w:uiPriority w:val="0"/>
    <w:pPr>
      <w:tabs>
        <w:tab w:val="clear" w:pos="360"/>
      </w:tabs>
      <w:spacing w:beforeLines="0" w:afterLines="0"/>
    </w:pPr>
    <w:rPr>
      <w:rFonts w:ascii="宋体" w:eastAsia="宋体"/>
      <w:szCs w:val="21"/>
    </w:rPr>
  </w:style>
  <w:style w:type="paragraph" w:customStyle="1" w:styleId="91">
    <w:name w:val="附录数字编号列项（二级）"/>
    <w:autoRedefine/>
    <w:qFormat/>
    <w:uiPriority w:val="0"/>
    <w:pPr>
      <w:numPr>
        <w:ilvl w:val="1"/>
        <w:numId w:val="13"/>
      </w:numPr>
    </w:pPr>
    <w:rPr>
      <w:rFonts w:ascii="宋体" w:hAnsi="Times New Roman" w:eastAsia="宋体" w:cs="Times New Roman"/>
      <w:sz w:val="21"/>
      <w:lang w:val="en-US" w:eastAsia="zh-CN" w:bidi="ar-SA"/>
    </w:rPr>
  </w:style>
  <w:style w:type="paragraph" w:customStyle="1" w:styleId="92">
    <w:name w:val="附录四级条标题"/>
    <w:basedOn w:val="89"/>
    <w:next w:val="21"/>
    <w:autoRedefine/>
    <w:qFormat/>
    <w:uiPriority w:val="0"/>
    <w:pPr>
      <w:numPr>
        <w:ilvl w:val="5"/>
      </w:numPr>
      <w:outlineLvl w:val="5"/>
    </w:pPr>
  </w:style>
  <w:style w:type="paragraph" w:customStyle="1" w:styleId="93">
    <w:name w:val="附录四级无"/>
    <w:basedOn w:val="92"/>
    <w:autoRedefine/>
    <w:qFormat/>
    <w:uiPriority w:val="0"/>
    <w:pPr>
      <w:tabs>
        <w:tab w:val="clear" w:pos="360"/>
      </w:tabs>
      <w:spacing w:beforeLines="0" w:afterLines="0"/>
    </w:pPr>
    <w:rPr>
      <w:rFonts w:ascii="宋体" w:eastAsia="宋体"/>
      <w:szCs w:val="21"/>
    </w:rPr>
  </w:style>
  <w:style w:type="paragraph" w:customStyle="1" w:styleId="94">
    <w:name w:val="附录图标号"/>
    <w:basedOn w:val="1"/>
    <w:autoRedefine/>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95">
    <w:name w:val="附录图标题"/>
    <w:basedOn w:val="1"/>
    <w:next w:val="21"/>
    <w:autoRedefine/>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96">
    <w:name w:val="附录五级条标题"/>
    <w:basedOn w:val="92"/>
    <w:next w:val="21"/>
    <w:autoRedefine/>
    <w:qFormat/>
    <w:uiPriority w:val="0"/>
    <w:pPr>
      <w:numPr>
        <w:ilvl w:val="6"/>
      </w:numPr>
      <w:outlineLvl w:val="6"/>
    </w:pPr>
  </w:style>
  <w:style w:type="paragraph" w:customStyle="1" w:styleId="97">
    <w:name w:val="附录五级无"/>
    <w:basedOn w:val="96"/>
    <w:autoRedefine/>
    <w:qFormat/>
    <w:uiPriority w:val="0"/>
    <w:pPr>
      <w:tabs>
        <w:tab w:val="clear" w:pos="360"/>
      </w:tabs>
      <w:spacing w:beforeLines="0" w:afterLines="0"/>
    </w:pPr>
    <w:rPr>
      <w:rFonts w:ascii="宋体" w:eastAsia="宋体"/>
      <w:szCs w:val="21"/>
    </w:rPr>
  </w:style>
  <w:style w:type="paragraph" w:customStyle="1" w:styleId="98">
    <w:name w:val="附录章标题"/>
    <w:next w:val="21"/>
    <w:autoRedefine/>
    <w:qFormat/>
    <w:uiPriority w:val="0"/>
    <w:pPr>
      <w:numPr>
        <w:ilvl w:val="1"/>
        <w:numId w:val="11"/>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99">
    <w:name w:val="附录一级条标题"/>
    <w:basedOn w:val="98"/>
    <w:next w:val="21"/>
    <w:autoRedefine/>
    <w:qFormat/>
    <w:uiPriority w:val="0"/>
    <w:pPr>
      <w:numPr>
        <w:ilvl w:val="2"/>
      </w:numPr>
      <w:autoSpaceDN w:val="0"/>
      <w:spacing w:beforeLines="50" w:afterLines="50"/>
      <w:outlineLvl w:val="2"/>
    </w:pPr>
  </w:style>
  <w:style w:type="paragraph" w:customStyle="1" w:styleId="100">
    <w:name w:val="附录一级无"/>
    <w:basedOn w:val="99"/>
    <w:autoRedefine/>
    <w:qFormat/>
    <w:uiPriority w:val="0"/>
    <w:pPr>
      <w:tabs>
        <w:tab w:val="clear" w:pos="360"/>
      </w:tabs>
      <w:spacing w:beforeLines="0" w:afterLines="0"/>
    </w:pPr>
    <w:rPr>
      <w:rFonts w:ascii="宋体" w:eastAsia="宋体"/>
      <w:szCs w:val="21"/>
    </w:rPr>
  </w:style>
  <w:style w:type="paragraph" w:customStyle="1" w:styleId="101">
    <w:name w:val="附录字母编号列项（一级）"/>
    <w:autoRedefine/>
    <w:qFormat/>
    <w:uiPriority w:val="0"/>
    <w:pPr>
      <w:numPr>
        <w:ilvl w:val="0"/>
        <w:numId w:val="13"/>
      </w:numPr>
    </w:pPr>
    <w:rPr>
      <w:rFonts w:ascii="宋体" w:hAnsi="Times New Roman" w:eastAsia="宋体" w:cs="Times New Roman"/>
      <w:sz w:val="21"/>
      <w:lang w:val="en-US" w:eastAsia="zh-CN" w:bidi="ar-SA"/>
    </w:rPr>
  </w:style>
  <w:style w:type="paragraph" w:customStyle="1" w:styleId="102">
    <w:name w:val="列项说明"/>
    <w:basedOn w:val="1"/>
    <w:autoRedefine/>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3">
    <w:name w:val="列项说明数字编号"/>
    <w:autoRedefine/>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04">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05">
    <w:name w:val="其他标准标志"/>
    <w:basedOn w:val="62"/>
    <w:autoRedefine/>
    <w:qFormat/>
    <w:uiPriority w:val="0"/>
    <w:pPr>
      <w:framePr w:w="6101" w:wrap="around" w:vAnchor="page" w:hAnchor="page" w:x="4673" w:y="942"/>
    </w:pPr>
    <w:rPr>
      <w:w w:val="130"/>
    </w:rPr>
  </w:style>
  <w:style w:type="paragraph" w:customStyle="1" w:styleId="106">
    <w:name w:val="其他标准称谓"/>
    <w:next w:val="1"/>
    <w:autoRedefine/>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07">
    <w:name w:val="其他发布部门"/>
    <w:basedOn w:val="70"/>
    <w:autoRedefine/>
    <w:qFormat/>
    <w:uiPriority w:val="0"/>
    <w:pPr>
      <w:framePr w:wrap="around" w:y="15310"/>
      <w:spacing w:line="0" w:lineRule="atLeast"/>
    </w:pPr>
    <w:rPr>
      <w:rFonts w:ascii="黑体" w:eastAsia="黑体"/>
      <w:b w:val="0"/>
    </w:rPr>
  </w:style>
  <w:style w:type="paragraph" w:customStyle="1" w:styleId="108">
    <w:name w:val="前言、引言标题"/>
    <w:next w:val="21"/>
    <w:autoRedefine/>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9">
    <w:name w:val="三级无"/>
    <w:basedOn w:val="47"/>
    <w:autoRedefine/>
    <w:qFormat/>
    <w:uiPriority w:val="0"/>
    <w:pPr>
      <w:spacing w:beforeLines="0" w:afterLines="0"/>
    </w:pPr>
    <w:rPr>
      <w:rFonts w:ascii="宋体" w:eastAsia="宋体"/>
    </w:rPr>
  </w:style>
  <w:style w:type="paragraph" w:customStyle="1" w:styleId="110">
    <w:name w:val="实施日期"/>
    <w:autoRedefine/>
    <w:qFormat/>
    <w:uiPriority w:val="0"/>
    <w:pPr>
      <w:framePr w:w="3997" w:h="471" w:hRule="exact" w:vSpace="181" w:wrap="around" w:vAnchor="page" w:hAnchor="page" w:x="7089" w:y="14097"/>
      <w:jc w:val="right"/>
    </w:pPr>
    <w:rPr>
      <w:rFonts w:ascii="Times New Roman" w:hAnsi="Times New Roman" w:eastAsia="黑体" w:cs="Times New Roman"/>
      <w:sz w:val="28"/>
      <w:lang w:val="en-US" w:eastAsia="zh-CN" w:bidi="ar-SA"/>
    </w:rPr>
  </w:style>
  <w:style w:type="paragraph" w:customStyle="1" w:styleId="111">
    <w:name w:val="示例后文字"/>
    <w:basedOn w:val="21"/>
    <w:next w:val="21"/>
    <w:autoRedefine/>
    <w:qFormat/>
    <w:uiPriority w:val="0"/>
    <w:pPr>
      <w:ind w:firstLine="360"/>
    </w:pPr>
    <w:rPr>
      <w:sz w:val="18"/>
    </w:rPr>
  </w:style>
  <w:style w:type="paragraph" w:customStyle="1" w:styleId="112">
    <w:name w:val="首示例"/>
    <w:next w:val="21"/>
    <w:link w:val="113"/>
    <w:autoRedefine/>
    <w:qFormat/>
    <w:uiPriority w:val="0"/>
    <w:pPr>
      <w:tabs>
        <w:tab w:val="left" w:pos="360"/>
      </w:tabs>
    </w:pPr>
    <w:rPr>
      <w:rFonts w:ascii="宋体" w:hAnsi="宋体" w:eastAsia="宋体" w:cs="Times New Roman"/>
      <w:kern w:val="2"/>
      <w:sz w:val="18"/>
      <w:szCs w:val="18"/>
      <w:lang w:val="en-US" w:eastAsia="zh-CN" w:bidi="ar-SA"/>
    </w:rPr>
  </w:style>
  <w:style w:type="character" w:customStyle="1" w:styleId="113">
    <w:name w:val="首示例 Char"/>
    <w:link w:val="112"/>
    <w:autoRedefine/>
    <w:qFormat/>
    <w:uiPriority w:val="0"/>
    <w:rPr>
      <w:rFonts w:ascii="宋体" w:hAnsi="宋体"/>
      <w:kern w:val="2"/>
      <w:sz w:val="18"/>
      <w:szCs w:val="18"/>
    </w:rPr>
  </w:style>
  <w:style w:type="paragraph" w:customStyle="1" w:styleId="114">
    <w:name w:val="四级无"/>
    <w:basedOn w:val="51"/>
    <w:autoRedefine/>
    <w:qFormat/>
    <w:uiPriority w:val="0"/>
    <w:pPr>
      <w:spacing w:beforeLines="0" w:afterLines="0"/>
    </w:pPr>
    <w:rPr>
      <w:rFonts w:ascii="宋体" w:eastAsia="宋体"/>
    </w:rPr>
  </w:style>
  <w:style w:type="paragraph" w:customStyle="1" w:styleId="115">
    <w:name w:val="条文脚注"/>
    <w:basedOn w:val="22"/>
    <w:autoRedefine/>
    <w:qFormat/>
    <w:uiPriority w:val="0"/>
    <w:pPr>
      <w:numPr>
        <w:numId w:val="0"/>
      </w:numPr>
      <w:jc w:val="both"/>
    </w:pPr>
  </w:style>
  <w:style w:type="paragraph" w:customStyle="1" w:styleId="116">
    <w:name w:val="图标脚注说明"/>
    <w:basedOn w:val="21"/>
    <w:autoRedefine/>
    <w:qFormat/>
    <w:uiPriority w:val="0"/>
    <w:pPr>
      <w:ind w:left="840" w:hanging="420" w:firstLineChars="0"/>
    </w:pPr>
    <w:rPr>
      <w:sz w:val="18"/>
      <w:szCs w:val="18"/>
    </w:rPr>
  </w:style>
  <w:style w:type="paragraph" w:customStyle="1" w:styleId="117">
    <w:name w:val="图表脚注说明"/>
    <w:basedOn w:val="1"/>
    <w:autoRedefine/>
    <w:qFormat/>
    <w:uiPriority w:val="0"/>
    <w:pPr>
      <w:numPr>
        <w:ilvl w:val="0"/>
        <w:numId w:val="15"/>
      </w:numPr>
    </w:pPr>
    <w:rPr>
      <w:rFonts w:ascii="宋体"/>
      <w:sz w:val="18"/>
      <w:szCs w:val="18"/>
    </w:rPr>
  </w:style>
  <w:style w:type="paragraph" w:customStyle="1" w:styleId="118">
    <w:name w:val="图的脚注"/>
    <w:next w:val="21"/>
    <w:autoRedefine/>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19">
    <w:name w:val="文献分类号"/>
    <w:autoRedefine/>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0">
    <w:name w:val="五级无"/>
    <w:basedOn w:val="52"/>
    <w:autoRedefine/>
    <w:qFormat/>
    <w:uiPriority w:val="0"/>
    <w:pPr>
      <w:spacing w:beforeLines="0" w:afterLines="0"/>
    </w:pPr>
    <w:rPr>
      <w:rFonts w:ascii="宋体" w:eastAsia="宋体"/>
    </w:rPr>
  </w:style>
  <w:style w:type="paragraph" w:customStyle="1" w:styleId="121">
    <w:name w:val="一级无"/>
    <w:basedOn w:val="38"/>
    <w:autoRedefine/>
    <w:qFormat/>
    <w:uiPriority w:val="0"/>
    <w:pPr>
      <w:spacing w:beforeLines="0" w:afterLines="0"/>
    </w:pPr>
    <w:rPr>
      <w:rFonts w:ascii="宋体" w:eastAsia="宋体"/>
    </w:rPr>
  </w:style>
  <w:style w:type="paragraph" w:customStyle="1" w:styleId="122">
    <w:name w:val="正文表标题"/>
    <w:next w:val="21"/>
    <w:autoRedefine/>
    <w:qFormat/>
    <w:uiPriority w:val="0"/>
    <w:pPr>
      <w:numPr>
        <w:ilvl w:val="0"/>
        <w:numId w:val="16"/>
      </w:numPr>
      <w:spacing w:beforeLines="50" w:afterLines="50"/>
      <w:jc w:val="center"/>
    </w:pPr>
    <w:rPr>
      <w:rFonts w:ascii="黑体" w:hAnsi="Times New Roman" w:eastAsia="黑体" w:cs="Times New Roman"/>
      <w:sz w:val="21"/>
      <w:lang w:val="en-US" w:eastAsia="zh-CN" w:bidi="ar-SA"/>
    </w:rPr>
  </w:style>
  <w:style w:type="paragraph" w:customStyle="1" w:styleId="123">
    <w:name w:val="正文公式编号制表符"/>
    <w:basedOn w:val="21"/>
    <w:next w:val="21"/>
    <w:autoRedefine/>
    <w:qFormat/>
    <w:uiPriority w:val="0"/>
    <w:pPr>
      <w:ind w:firstLine="0" w:firstLineChars="0"/>
    </w:pPr>
  </w:style>
  <w:style w:type="paragraph" w:customStyle="1" w:styleId="124">
    <w:name w:val="正文图标题"/>
    <w:next w:val="21"/>
    <w:autoRedefine/>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25">
    <w:name w:val="终结线"/>
    <w:basedOn w:val="1"/>
    <w:autoRedefine/>
    <w:qFormat/>
    <w:uiPriority w:val="0"/>
    <w:pPr>
      <w:framePr w:hSpace="181" w:vSpace="181" w:wrap="around" w:vAnchor="text" w:hAnchor="margin" w:xAlign="center" w:y="285"/>
    </w:pPr>
  </w:style>
  <w:style w:type="paragraph" w:customStyle="1" w:styleId="126">
    <w:name w:val="其他发布日期"/>
    <w:autoRedefine/>
    <w:qFormat/>
    <w:uiPriority w:val="0"/>
    <w:pPr>
      <w:framePr w:w="3997" w:h="471" w:hRule="exact" w:vSpace="181" w:wrap="around" w:vAnchor="page" w:hAnchor="page" w:x="1419" w:y="14097" w:anchorLock="1"/>
    </w:pPr>
    <w:rPr>
      <w:rFonts w:ascii="Times New Roman" w:hAnsi="Times New Roman" w:eastAsia="黑体" w:cs="Times New Roman"/>
      <w:sz w:val="28"/>
      <w:lang w:val="en-US" w:eastAsia="zh-CN" w:bidi="ar-SA"/>
    </w:rPr>
  </w:style>
  <w:style w:type="paragraph" w:customStyle="1" w:styleId="127">
    <w:name w:val="其他实施日期"/>
    <w:basedOn w:val="110"/>
    <w:autoRedefine/>
    <w:qFormat/>
    <w:uiPriority w:val="0"/>
    <w:pPr>
      <w:framePr w:wrap="around"/>
    </w:pPr>
  </w:style>
  <w:style w:type="paragraph" w:customStyle="1" w:styleId="128">
    <w:name w:val="封面标准名称2"/>
    <w:basedOn w:val="74"/>
    <w:autoRedefine/>
    <w:qFormat/>
    <w:uiPriority w:val="0"/>
    <w:pPr>
      <w:framePr w:wrap="around" w:y="4469"/>
      <w:spacing w:beforeLines="630"/>
    </w:pPr>
  </w:style>
  <w:style w:type="paragraph" w:customStyle="1" w:styleId="129">
    <w:name w:val="封面标准英文名称2"/>
    <w:basedOn w:val="75"/>
    <w:autoRedefine/>
    <w:qFormat/>
    <w:uiPriority w:val="0"/>
    <w:pPr>
      <w:framePr w:wrap="around" w:y="4469"/>
    </w:pPr>
  </w:style>
  <w:style w:type="paragraph" w:customStyle="1" w:styleId="130">
    <w:name w:val="封面一致性程度标识2"/>
    <w:basedOn w:val="76"/>
    <w:autoRedefine/>
    <w:qFormat/>
    <w:uiPriority w:val="0"/>
    <w:pPr>
      <w:framePr w:wrap="around" w:y="4469"/>
    </w:pPr>
  </w:style>
  <w:style w:type="paragraph" w:customStyle="1" w:styleId="131">
    <w:name w:val="封面标准文稿类别2"/>
    <w:basedOn w:val="77"/>
    <w:qFormat/>
    <w:uiPriority w:val="0"/>
    <w:pPr>
      <w:framePr w:wrap="around" w:y="4469"/>
    </w:pPr>
  </w:style>
  <w:style w:type="paragraph" w:customStyle="1" w:styleId="132">
    <w:name w:val="封面标准文稿编辑信息2"/>
    <w:basedOn w:val="78"/>
    <w:autoRedefine/>
    <w:qFormat/>
    <w:uiPriority w:val="0"/>
    <w:pPr>
      <w:framePr w:wrap="around" w:y="4469"/>
    </w:pPr>
  </w:style>
  <w:style w:type="paragraph" w:customStyle="1" w:styleId="133">
    <w:name w:val="标准名称"/>
    <w:basedOn w:val="46"/>
    <w:link w:val="136"/>
    <w:autoRedefine/>
    <w:qFormat/>
    <w:uiPriority w:val="0"/>
  </w:style>
  <w:style w:type="character" w:styleId="134">
    <w:name w:val="Placeholder Text"/>
    <w:basedOn w:val="31"/>
    <w:autoRedefine/>
    <w:semiHidden/>
    <w:qFormat/>
    <w:uiPriority w:val="99"/>
    <w:rPr>
      <w:color w:val="808080"/>
    </w:rPr>
  </w:style>
  <w:style w:type="character" w:customStyle="1" w:styleId="135">
    <w:name w:val="目次、标准名称标题 Char"/>
    <w:basedOn w:val="31"/>
    <w:link w:val="46"/>
    <w:autoRedefine/>
    <w:qFormat/>
    <w:uiPriority w:val="0"/>
    <w:rPr>
      <w:rFonts w:ascii="黑体" w:eastAsia="黑体"/>
      <w:sz w:val="32"/>
      <w:shd w:val="clear" w:color="FFFFFF" w:fill="FFFFFF"/>
    </w:rPr>
  </w:style>
  <w:style w:type="character" w:customStyle="1" w:styleId="136">
    <w:name w:val="标准名称 Char"/>
    <w:basedOn w:val="135"/>
    <w:link w:val="133"/>
    <w:autoRedefine/>
    <w:qFormat/>
    <w:uiPriority w:val="0"/>
    <w:rPr>
      <w:rFonts w:ascii="黑体" w:eastAsia="黑体"/>
      <w:sz w:val="32"/>
      <w:shd w:val="clear" w:color="FFFFFF" w:fill="FFFFFF"/>
    </w:rPr>
  </w:style>
  <w:style w:type="character" w:customStyle="1" w:styleId="137">
    <w:name w:val="批注框文本 字符"/>
    <w:basedOn w:val="31"/>
    <w:link w:val="14"/>
    <w:autoRedefine/>
    <w:qFormat/>
    <w:uiPriority w:val="0"/>
    <w:rPr>
      <w:kern w:val="2"/>
      <w:sz w:val="18"/>
      <w:szCs w:val="18"/>
    </w:rPr>
  </w:style>
  <w:style w:type="table" w:customStyle="1" w:styleId="138">
    <w:name w:val="网格型1"/>
    <w:basedOn w:val="29"/>
    <w:autoRedefine/>
    <w:qFormat/>
    <w:uiPriority w:val="0"/>
    <w:rPr>
      <w:rFonts w:ascii="等线" w:hAnsi="等线" w:eastAsia="等线"/>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
    <w:name w:val="网格型2"/>
    <w:basedOn w:val="29"/>
    <w:autoRedefine/>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
    <w:name w:val="网格型3"/>
    <w:basedOn w:val="29"/>
    <w:autoRedefine/>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
    <w:name w:val="网格型4"/>
    <w:basedOn w:val="29"/>
    <w:autoRedefine/>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1"/>
        <w:style w:val=""/>
        <w:category>
          <w:name w:val="常规"/>
          <w:gallery w:val="placeholder"/>
        </w:category>
        <w:types>
          <w:type w:val="bbPlcHdr"/>
        </w:types>
        <w:behaviors>
          <w:behavior w:val="content"/>
        </w:behaviors>
        <w:description w:val=""/>
        <w:guid w:val="{028989F2-0355-49D4-BDA6-4D56B5D374C0}"/>
      </w:docPartPr>
      <w:docPartBody>
        <w:p w14:paraId="50696597">
          <w:pPr>
            <w:pStyle w:val="5"/>
          </w:pPr>
          <w:r>
            <w:rPr>
              <w:rStyle w:val="4"/>
              <w:rFonts w:hint="eastAsia"/>
            </w:rPr>
            <w:t>标准名称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13A"/>
    <w:rsid w:val="0002647A"/>
    <w:rsid w:val="0002653F"/>
    <w:rsid w:val="00032F63"/>
    <w:rsid w:val="00080DE3"/>
    <w:rsid w:val="00087E40"/>
    <w:rsid w:val="00092210"/>
    <w:rsid w:val="000C73CF"/>
    <w:rsid w:val="001132F9"/>
    <w:rsid w:val="00114ABC"/>
    <w:rsid w:val="001C16E0"/>
    <w:rsid w:val="002068C7"/>
    <w:rsid w:val="00264AB8"/>
    <w:rsid w:val="00323E80"/>
    <w:rsid w:val="003372E5"/>
    <w:rsid w:val="003750AF"/>
    <w:rsid w:val="00430F92"/>
    <w:rsid w:val="004F113A"/>
    <w:rsid w:val="004F1EC5"/>
    <w:rsid w:val="00515A81"/>
    <w:rsid w:val="005335DD"/>
    <w:rsid w:val="00595E09"/>
    <w:rsid w:val="005A70BA"/>
    <w:rsid w:val="00674FBA"/>
    <w:rsid w:val="006D02E4"/>
    <w:rsid w:val="007216E9"/>
    <w:rsid w:val="007C6ACB"/>
    <w:rsid w:val="007E2797"/>
    <w:rsid w:val="00800293"/>
    <w:rsid w:val="00820E7E"/>
    <w:rsid w:val="008E024D"/>
    <w:rsid w:val="008F0268"/>
    <w:rsid w:val="00902EF8"/>
    <w:rsid w:val="00982DAC"/>
    <w:rsid w:val="009B16B1"/>
    <w:rsid w:val="00A94E45"/>
    <w:rsid w:val="00AD6808"/>
    <w:rsid w:val="00B57F30"/>
    <w:rsid w:val="00B717AC"/>
    <w:rsid w:val="00BC67AA"/>
    <w:rsid w:val="00C875D2"/>
    <w:rsid w:val="00CB0B2B"/>
    <w:rsid w:val="00D02260"/>
    <w:rsid w:val="00D13217"/>
    <w:rsid w:val="00D4454B"/>
    <w:rsid w:val="00D65DD7"/>
    <w:rsid w:val="00DA4409"/>
    <w:rsid w:val="00E95A08"/>
    <w:rsid w:val="00EA15BD"/>
    <w:rsid w:val="00EA32AC"/>
    <w:rsid w:val="00F93653"/>
    <w:rsid w:val="00FF0B73"/>
    <w:rsid w:val="00FF0E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cs="Times New Roman" w:asciiTheme="minorHAnsi" w:hAnsiTheme="minorHAnsi" w:eastAsiaTheme="minorEastAsia"/>
      <w:kern w:val="2"/>
      <w:sz w:val="3276"/>
      <w:szCs w:val="3276"/>
      <w:lang w:val="en-US" w:eastAsia="zh-CN" w:bidi="ar-SA"/>
    </w:rPr>
  </w:style>
  <w:style w:type="character" w:default="1" w:styleId="2">
    <w:name w:val="Default Paragraph Font"/>
    <w:semiHidden/>
    <w:unhideWhenUsed/>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Placeholder Text"/>
    <w:basedOn w:val="2"/>
    <w:autoRedefine/>
    <w:semiHidden/>
    <w:qFormat/>
    <w:uiPriority w:val="99"/>
    <w:rPr>
      <w:color w:val="808080"/>
    </w:rPr>
  </w:style>
  <w:style w:type="paragraph" w:customStyle="1" w:styleId="5">
    <w:name w:val="1112"/>
    <w:autoRedefine/>
    <w:qFormat/>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zle</Company>
  <Pages>8</Pages>
  <Words>2936</Words>
  <Characters>3400</Characters>
  <Lines>53</Lines>
  <Paragraphs>14</Paragraphs>
  <TotalTime>1</TotalTime>
  <ScaleCrop>false</ScaleCrop>
  <LinksUpToDate>false</LinksUpToDate>
  <CharactersWithSpaces>3575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2023-12-11T01:49:00Z</dcterms:created>
  <dc:creator>CNIS</dc:creator>
  <cp:lastModifiedBy>审稿人</cp:lastModifiedBy>
  <dcterms:modified xsi:type="dcterms:W3CDTF">2024-08-30T23:06:26Z</dcterms:modified>
  <dc:title>标准名称</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44CE2128415F40C0A1EB2792551AA38B_13</vt:lpwstr>
  </property>
</Properties>
</file>