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华文中宋" w:eastAsia="方正小标宋简体" w:cs="Times New Roman"/>
          <w:color w:val="000000"/>
          <w:sz w:val="36"/>
          <w:szCs w:val="36"/>
        </w:rPr>
      </w:pPr>
      <w:r>
        <w:rPr>
          <w:rFonts w:hint="eastAsia" w:ascii="方正小标宋简体" w:hAnsi="华文中宋" w:eastAsia="方正小标宋简体" w:cs="方正小标宋简体"/>
          <w:color w:val="000000"/>
          <w:sz w:val="36"/>
          <w:szCs w:val="36"/>
        </w:rPr>
        <w:t>池州市地方标准编制说明</w:t>
      </w:r>
    </w:p>
    <w:tbl>
      <w:tblPr>
        <w:tblStyle w:val="5"/>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870"/>
        <w:gridCol w:w="3960"/>
        <w:gridCol w:w="1275"/>
        <w:gridCol w:w="1485"/>
        <w:gridCol w:w="1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479" w:type="dxa"/>
            <w:gridSpan w:val="2"/>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标准名称</w:t>
            </w:r>
          </w:p>
        </w:tc>
        <w:tc>
          <w:tcPr>
            <w:tcW w:w="8092" w:type="dxa"/>
            <w:gridSpan w:val="4"/>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hAnsi="宋体" w:cs="宋体"/>
                <w:kern w:val="0"/>
              </w:rPr>
              <w:t>主要作物化肥限量施用技术</w:t>
            </w:r>
            <w:r>
              <w:rPr>
                <w:rFonts w:hint="eastAsia" w:ascii="宋体" w:hAnsi="宋体" w:cs="宋体"/>
                <w:kern w:val="0"/>
                <w:lang w:eastAsia="zh-CN"/>
              </w:rPr>
              <w:t>规程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9" w:type="dxa"/>
            <w:gridSpan w:val="2"/>
            <w:vAlign w:val="center"/>
          </w:tcPr>
          <w:p>
            <w:pPr>
              <w:widowControl/>
              <w:tabs>
                <w:tab w:val="center" w:pos="4201"/>
                <w:tab w:val="right" w:leader="dot" w:pos="9298"/>
              </w:tabs>
              <w:autoSpaceDE w:val="0"/>
              <w:autoSpaceDN w:val="0"/>
              <w:adjustRightInd w:val="0"/>
              <w:jc w:val="both"/>
              <w:rPr>
                <w:rFonts w:ascii="宋体" w:cs="Times New Roman"/>
                <w:kern w:val="0"/>
              </w:rPr>
            </w:pPr>
            <w:r>
              <w:rPr>
                <w:rFonts w:hint="eastAsia" w:ascii="宋体" w:hAnsi="宋体" w:cs="宋体"/>
                <w:kern w:val="0"/>
              </w:rPr>
              <w:t>任务来源（立项计划号）</w:t>
            </w:r>
          </w:p>
        </w:tc>
        <w:tc>
          <w:tcPr>
            <w:tcW w:w="8092" w:type="dxa"/>
            <w:gridSpan w:val="4"/>
            <w:vAlign w:val="center"/>
          </w:tcPr>
          <w:p>
            <w:pPr>
              <w:widowControl/>
              <w:tabs>
                <w:tab w:val="center" w:pos="4201"/>
                <w:tab w:val="right" w:leader="dot" w:pos="9298"/>
              </w:tabs>
              <w:autoSpaceDE w:val="0"/>
              <w:autoSpaceDN w:val="0"/>
              <w:adjustRightInd w:val="0"/>
              <w:rPr>
                <w:rFonts w:ascii="宋体" w:cs="Times New Roman"/>
                <w:kern w:val="0"/>
              </w:rPr>
            </w:pPr>
            <w:r>
              <w:rPr>
                <w:rFonts w:hint="eastAsia"/>
              </w:rPr>
              <w:t>池州</w:t>
            </w:r>
            <w:r>
              <w:rPr>
                <w:rFonts w:hint="eastAsia"/>
                <w:lang w:eastAsia="zh-CN"/>
              </w:rPr>
              <w:t>市</w:t>
            </w:r>
            <w:r>
              <w:t>市场监督管理局</w:t>
            </w:r>
            <w:r>
              <w:rPr>
                <w:rFonts w:hint="eastAsia"/>
              </w:rPr>
              <w:t>《关于下达2024年第二批池州市地方标准制（修）订计划项目的通知》（池市监函〔2024〕57号）文件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9" w:type="dxa"/>
            <w:gridSpan w:val="2"/>
            <w:vAlign w:val="center"/>
          </w:tcPr>
          <w:p>
            <w:pPr>
              <w:widowControl/>
              <w:tabs>
                <w:tab w:val="center" w:pos="4201"/>
                <w:tab w:val="right" w:leader="dot" w:pos="9298"/>
              </w:tabs>
              <w:autoSpaceDE w:val="0"/>
              <w:autoSpaceDN w:val="0"/>
              <w:adjustRightInd w:val="0"/>
              <w:jc w:val="both"/>
              <w:rPr>
                <w:rFonts w:ascii="宋体" w:cs="Times New Roman"/>
                <w:kern w:val="0"/>
              </w:rPr>
            </w:pPr>
            <w:r>
              <w:rPr>
                <w:rFonts w:hint="eastAsia" w:ascii="宋体" w:hAnsi="宋体" w:cs="宋体"/>
                <w:kern w:val="0"/>
                <w:lang w:eastAsia="zh-CN"/>
              </w:rPr>
              <w:t>负责</w:t>
            </w:r>
            <w:r>
              <w:rPr>
                <w:rFonts w:hint="eastAsia" w:ascii="宋体" w:hAnsi="宋体" w:cs="宋体"/>
                <w:kern w:val="0"/>
              </w:rPr>
              <w:t>起草单位</w:t>
            </w:r>
          </w:p>
        </w:tc>
        <w:tc>
          <w:tcPr>
            <w:tcW w:w="8092" w:type="dxa"/>
            <w:gridSpan w:val="4"/>
            <w:vAlign w:val="center"/>
          </w:tcPr>
          <w:p>
            <w:pPr>
              <w:widowControl/>
              <w:tabs>
                <w:tab w:val="center" w:pos="4201"/>
                <w:tab w:val="right" w:leader="dot" w:pos="9298"/>
              </w:tabs>
              <w:autoSpaceDE w:val="0"/>
              <w:autoSpaceDN w:val="0"/>
              <w:adjustRightInd w:val="0"/>
              <w:rPr>
                <w:rFonts w:ascii="宋体" w:cs="Times New Roman"/>
                <w:kern w:val="0"/>
              </w:rPr>
            </w:pPr>
            <w:r>
              <w:rPr>
                <w:rFonts w:hint="eastAsia" w:ascii="宋体" w:cs="Times New Roman"/>
                <w:kern w:val="0"/>
              </w:rPr>
              <w:t>池州市农业科学院（池州市农业技术推广中心）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9" w:type="dxa"/>
            <w:gridSpan w:val="2"/>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单位地址</w:t>
            </w:r>
          </w:p>
        </w:tc>
        <w:tc>
          <w:tcPr>
            <w:tcW w:w="8092" w:type="dxa"/>
            <w:gridSpan w:val="4"/>
            <w:vAlign w:val="center"/>
          </w:tcPr>
          <w:p>
            <w:pPr>
              <w:widowControl/>
              <w:tabs>
                <w:tab w:val="center" w:pos="4201"/>
                <w:tab w:val="right" w:leader="dot" w:pos="9298"/>
              </w:tabs>
              <w:autoSpaceDE w:val="0"/>
              <w:autoSpaceDN w:val="0"/>
              <w:adjustRightInd w:val="0"/>
              <w:rPr>
                <w:rFonts w:ascii="宋体" w:cs="Times New Roman"/>
                <w:kern w:val="0"/>
              </w:rPr>
            </w:pPr>
            <w:r>
              <w:rPr>
                <w:rFonts w:hint="eastAsia"/>
              </w:rPr>
              <w:t>安徽省池州市贵池区长江大厦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9" w:type="dxa"/>
            <w:gridSpan w:val="2"/>
            <w:vAlign w:val="center"/>
          </w:tcPr>
          <w:p>
            <w:pPr>
              <w:widowControl/>
              <w:tabs>
                <w:tab w:val="center" w:pos="4201"/>
                <w:tab w:val="right" w:leader="dot" w:pos="9298"/>
              </w:tabs>
              <w:autoSpaceDE w:val="0"/>
              <w:autoSpaceDN w:val="0"/>
              <w:adjustRightInd w:val="0"/>
              <w:jc w:val="both"/>
              <w:rPr>
                <w:rFonts w:ascii="宋体" w:cs="Times New Roman"/>
                <w:kern w:val="0"/>
              </w:rPr>
            </w:pPr>
            <w:r>
              <w:rPr>
                <w:rFonts w:hint="eastAsia" w:ascii="宋体" w:hAnsi="宋体" w:cs="宋体"/>
                <w:kern w:val="0"/>
              </w:rPr>
              <w:t>参与起草单位</w:t>
            </w:r>
          </w:p>
        </w:tc>
        <w:tc>
          <w:tcPr>
            <w:tcW w:w="8092" w:type="dxa"/>
            <w:gridSpan w:val="4"/>
            <w:vAlign w:val="center"/>
          </w:tcPr>
          <w:p>
            <w:pPr>
              <w:widowControl/>
              <w:tabs>
                <w:tab w:val="center" w:pos="4201"/>
                <w:tab w:val="right" w:leader="dot" w:pos="9298"/>
              </w:tabs>
              <w:autoSpaceDE w:val="0"/>
              <w:autoSpaceDN w:val="0"/>
              <w:adjustRightInd w:val="0"/>
              <w:rPr>
                <w:rFonts w:ascii="宋体" w:cs="Times New Roman"/>
                <w:kern w:val="0"/>
              </w:rPr>
            </w:pPr>
            <w:r>
              <w:rPr>
                <w:rFonts w:hint="eastAsia"/>
              </w:rPr>
              <w:t>东至县农业农村综合技术服务中心、池州市清溪环境科技咨询服务有限公司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2" w:firstLineChars="200"/>
              <w:jc w:val="center"/>
              <w:rPr>
                <w:rFonts w:ascii="宋体" w:cs="Times New Roman"/>
                <w:b/>
                <w:bCs/>
                <w:kern w:val="0"/>
              </w:rPr>
            </w:pPr>
            <w:r>
              <w:rPr>
                <w:rFonts w:hint="eastAsia" w:ascii="宋体" w:hAnsi="宋体" w:cs="宋体"/>
                <w:b/>
                <w:bCs/>
                <w:kern w:val="0"/>
              </w:rPr>
              <w:t>标准起草人</w:t>
            </w:r>
          </w:p>
          <w:p>
            <w:pPr>
              <w:widowControl/>
              <w:tabs>
                <w:tab w:val="center" w:pos="4201"/>
                <w:tab w:val="right" w:leader="dot" w:pos="9298"/>
              </w:tabs>
              <w:autoSpaceDE w:val="0"/>
              <w:autoSpaceDN w:val="0"/>
              <w:adjustRightInd w:val="0"/>
              <w:ind w:firstLine="420" w:firstLineChars="200"/>
              <w:jc w:val="center"/>
              <w:rPr>
                <w:rFonts w:ascii="宋体" w:cs="Times New Roman"/>
                <w:kern w:val="0"/>
              </w:rPr>
            </w:pPr>
            <w:r>
              <w:rPr>
                <w:rFonts w:hint="eastAsia" w:ascii="宋体" w:hAnsi="宋体" w:cs="宋体"/>
                <w:kern w:val="0"/>
              </w:rPr>
              <w:t>（全部起草人，应与标准文本前言中起草人排序一致）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609"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序号</w:t>
            </w:r>
          </w:p>
        </w:tc>
        <w:tc>
          <w:tcPr>
            <w:tcW w:w="870"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姓名</w:t>
            </w:r>
          </w:p>
        </w:tc>
        <w:tc>
          <w:tcPr>
            <w:tcW w:w="3960" w:type="dxa"/>
            <w:vAlign w:val="center"/>
          </w:tcPr>
          <w:p>
            <w:pPr>
              <w:widowControl/>
              <w:tabs>
                <w:tab w:val="center" w:pos="4201"/>
                <w:tab w:val="right" w:leader="dot" w:pos="9298"/>
              </w:tabs>
              <w:autoSpaceDE w:val="0"/>
              <w:autoSpaceDN w:val="0"/>
              <w:adjustRightInd w:val="0"/>
              <w:ind w:firstLine="420" w:firstLineChars="200"/>
              <w:jc w:val="center"/>
              <w:rPr>
                <w:rFonts w:ascii="宋体" w:cs="Times New Roman"/>
                <w:kern w:val="0"/>
              </w:rPr>
            </w:pPr>
            <w:r>
              <w:rPr>
                <w:rFonts w:hint="eastAsia" w:ascii="宋体" w:hAnsi="宋体" w:cs="宋体"/>
                <w:kern w:val="0"/>
              </w:rPr>
              <w:t>单位</w:t>
            </w:r>
          </w:p>
        </w:tc>
        <w:tc>
          <w:tcPr>
            <w:tcW w:w="127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职务</w:t>
            </w: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职称</w:t>
            </w:r>
          </w:p>
        </w:tc>
        <w:tc>
          <w:tcPr>
            <w:tcW w:w="1372"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eastAsia="宋体" w:cs="Times New Roman"/>
                <w:kern w:val="0"/>
                <w:lang w:eastAsia="zh-CN"/>
              </w:rPr>
              <w:t>1</w:t>
            </w:r>
          </w:p>
        </w:tc>
        <w:tc>
          <w:tcPr>
            <w:tcW w:w="870"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cs="Times New Roman"/>
                <w:kern w:val="0"/>
                <w:lang w:eastAsia="zh-CN"/>
              </w:rPr>
              <w:t>张玲霞</w:t>
            </w:r>
          </w:p>
        </w:tc>
        <w:tc>
          <w:tcPr>
            <w:tcW w:w="3960" w:type="dxa"/>
            <w:vAlign w:val="center"/>
          </w:tcPr>
          <w:p>
            <w:pPr>
              <w:widowControl/>
              <w:tabs>
                <w:tab w:val="center" w:pos="4201"/>
                <w:tab w:val="right" w:leader="dot" w:pos="9298"/>
              </w:tabs>
              <w:autoSpaceDE w:val="0"/>
              <w:autoSpaceDN w:val="0"/>
              <w:adjustRightInd w:val="0"/>
              <w:rPr>
                <w:rFonts w:ascii="宋体" w:cs="Times New Roman"/>
                <w:kern w:val="0"/>
              </w:rPr>
            </w:pPr>
            <w:r>
              <w:rPr>
                <w:rFonts w:hint="eastAsia" w:ascii="宋体" w:cs="Times New Roman"/>
                <w:kern w:val="0"/>
                <w:sz w:val="18"/>
                <w:szCs w:val="18"/>
              </w:rPr>
              <w:t>池州市农业科学院（池州市农业技术推广中心）</w:t>
            </w:r>
          </w:p>
        </w:tc>
        <w:tc>
          <w:tcPr>
            <w:tcW w:w="1275" w:type="dxa"/>
            <w:vAlign w:val="center"/>
          </w:tcPr>
          <w:p>
            <w:pPr>
              <w:widowControl/>
              <w:tabs>
                <w:tab w:val="center" w:pos="4201"/>
                <w:tab w:val="right" w:leader="dot" w:pos="9298"/>
              </w:tabs>
              <w:autoSpaceDE w:val="0"/>
              <w:autoSpaceDN w:val="0"/>
              <w:adjustRightInd w:val="0"/>
              <w:rPr>
                <w:rFonts w:hint="eastAsia" w:ascii="宋体" w:eastAsia="宋体" w:cs="Times New Roman"/>
                <w:kern w:val="0"/>
                <w:lang w:eastAsia="zh-CN"/>
              </w:rPr>
            </w:pPr>
          </w:p>
        </w:tc>
        <w:tc>
          <w:tcPr>
            <w:tcW w:w="1485"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cs="Times New Roman"/>
                <w:kern w:val="0"/>
                <w:lang w:eastAsia="zh-CN"/>
              </w:rPr>
              <w:t>正高级农艺师</w:t>
            </w:r>
          </w:p>
        </w:tc>
        <w:tc>
          <w:tcPr>
            <w:tcW w:w="1372" w:type="dxa"/>
            <w:vAlign w:val="center"/>
          </w:tcPr>
          <w:p>
            <w:pPr>
              <w:widowControl/>
              <w:tabs>
                <w:tab w:val="center" w:pos="4201"/>
                <w:tab w:val="right" w:leader="dot" w:pos="9298"/>
              </w:tabs>
              <w:autoSpaceDE w:val="0"/>
              <w:autoSpaceDN w:val="0"/>
              <w:adjustRightInd w:val="0"/>
              <w:rPr>
                <w:rFonts w:hint="default" w:ascii="宋体" w:eastAsia="宋体" w:cs="Times New Roman"/>
                <w:kern w:val="0"/>
                <w:lang w:val="en-US" w:eastAsia="zh-CN"/>
              </w:rPr>
            </w:pPr>
            <w:r>
              <w:rPr>
                <w:rFonts w:hint="eastAsia" w:ascii="宋体" w:cs="Times New Roman"/>
                <w:kern w:val="0"/>
                <w:lang w:val="en-US" w:eastAsia="zh-CN"/>
              </w:rPr>
              <w:t>15905666156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val="en-US" w:eastAsia="zh-CN"/>
              </w:rPr>
            </w:pPr>
            <w:r>
              <w:rPr>
                <w:rFonts w:hint="eastAsia" w:ascii="宋体" w:eastAsia="宋体" w:cs="Times New Roman"/>
                <w:kern w:val="0"/>
                <w:lang w:val="en-US" w:eastAsia="zh-CN"/>
              </w:rPr>
              <w:t>2</w:t>
            </w:r>
          </w:p>
        </w:tc>
        <w:tc>
          <w:tcPr>
            <w:tcW w:w="870"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cs="Times New Roman"/>
                <w:kern w:val="0"/>
                <w:lang w:eastAsia="zh-CN"/>
              </w:rPr>
              <w:t>纪根学</w:t>
            </w:r>
          </w:p>
        </w:tc>
        <w:tc>
          <w:tcPr>
            <w:tcW w:w="3960" w:type="dxa"/>
            <w:vAlign w:val="center"/>
          </w:tcPr>
          <w:p>
            <w:pPr>
              <w:widowControl/>
              <w:autoSpaceDE w:val="0"/>
              <w:autoSpaceDN w:val="0"/>
              <w:adjustRightInd w:val="0"/>
              <w:rPr>
                <w:rFonts w:ascii="宋体" w:cs="Times New Roman"/>
                <w:kern w:val="0"/>
              </w:rPr>
            </w:pPr>
            <w:r>
              <w:rPr>
                <w:rFonts w:hint="eastAsia" w:ascii="宋体" w:cs="Times New Roman"/>
                <w:kern w:val="0"/>
                <w:sz w:val="18"/>
                <w:szCs w:val="18"/>
              </w:rPr>
              <w:t>池州市农业科学院（池州市农业技术推广中心）</w:t>
            </w:r>
          </w:p>
        </w:tc>
        <w:tc>
          <w:tcPr>
            <w:tcW w:w="1275" w:type="dxa"/>
            <w:vAlign w:val="center"/>
          </w:tcPr>
          <w:p>
            <w:pPr>
              <w:widowControl/>
              <w:tabs>
                <w:tab w:val="center" w:pos="4201"/>
                <w:tab w:val="right" w:leader="dot" w:pos="9298"/>
              </w:tabs>
              <w:autoSpaceDE w:val="0"/>
              <w:autoSpaceDN w:val="0"/>
              <w:adjustRightInd w:val="0"/>
              <w:ind w:firstLine="210" w:firstLineChars="100"/>
              <w:rPr>
                <w:rFonts w:ascii="宋体" w:cs="Times New Roman"/>
                <w:kern w:val="0"/>
              </w:rPr>
            </w:pPr>
            <w:r>
              <w:rPr>
                <w:rFonts w:hint="eastAsia" w:ascii="宋体" w:cs="Times New Roman"/>
                <w:kern w:val="0"/>
                <w:lang w:eastAsia="zh-CN"/>
              </w:rPr>
              <w:t>副院长</w:t>
            </w: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cs="Times New Roman"/>
                <w:kern w:val="0"/>
                <w:lang w:eastAsia="zh-CN"/>
              </w:rPr>
              <w:t>高级农艺师</w:t>
            </w:r>
          </w:p>
        </w:tc>
        <w:tc>
          <w:tcPr>
            <w:tcW w:w="1372" w:type="dxa"/>
            <w:vAlign w:val="center"/>
          </w:tcPr>
          <w:p>
            <w:pPr>
              <w:widowControl/>
              <w:tabs>
                <w:tab w:val="center" w:pos="4201"/>
                <w:tab w:val="right" w:leader="dot" w:pos="9298"/>
              </w:tabs>
              <w:autoSpaceDE w:val="0"/>
              <w:autoSpaceDN w:val="0"/>
              <w:adjustRightInd w:val="0"/>
              <w:rPr>
                <w:rFonts w:hint="default" w:ascii="宋体" w:eastAsia="宋体" w:cs="Times New Roman"/>
                <w:kern w:val="0"/>
                <w:lang w:val="en-US" w:eastAsia="zh-CN"/>
              </w:rPr>
            </w:pPr>
            <w:r>
              <w:rPr>
                <w:rFonts w:hint="eastAsia" w:ascii="宋体" w:cs="Times New Roman"/>
                <w:kern w:val="0"/>
                <w:lang w:val="en-US" w:eastAsia="zh-CN"/>
              </w:rPr>
              <w:t>18156632125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val="en-US" w:eastAsia="zh-CN"/>
              </w:rPr>
            </w:pPr>
            <w:r>
              <w:rPr>
                <w:rFonts w:hint="eastAsia" w:ascii="宋体" w:eastAsia="宋体" w:cs="Times New Roman"/>
                <w:kern w:val="0"/>
                <w:lang w:val="en-US" w:eastAsia="zh-CN"/>
              </w:rPr>
              <w:t>3</w:t>
            </w:r>
          </w:p>
        </w:tc>
        <w:tc>
          <w:tcPr>
            <w:tcW w:w="870"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cs="Times New Roman"/>
                <w:kern w:val="0"/>
                <w:lang w:eastAsia="zh-CN"/>
              </w:rPr>
              <w:t>吴新德</w:t>
            </w:r>
          </w:p>
        </w:tc>
        <w:tc>
          <w:tcPr>
            <w:tcW w:w="3960" w:type="dxa"/>
            <w:vAlign w:val="center"/>
          </w:tcPr>
          <w:p>
            <w:pPr>
              <w:widowControl/>
              <w:autoSpaceDE w:val="0"/>
              <w:autoSpaceDN w:val="0"/>
              <w:adjustRightInd w:val="0"/>
              <w:rPr>
                <w:rFonts w:ascii="宋体" w:cs="Times New Roman"/>
                <w:kern w:val="0"/>
              </w:rPr>
            </w:pPr>
            <w:r>
              <w:rPr>
                <w:rFonts w:hint="eastAsia" w:ascii="宋体" w:cs="Times New Roman"/>
                <w:kern w:val="0"/>
                <w:sz w:val="18"/>
                <w:szCs w:val="18"/>
              </w:rPr>
              <w:t>池州市农业科学院（池州市农业技术推广中心）</w:t>
            </w:r>
          </w:p>
        </w:tc>
        <w:tc>
          <w:tcPr>
            <w:tcW w:w="1275" w:type="dxa"/>
            <w:vAlign w:val="center"/>
          </w:tcPr>
          <w:p>
            <w:pPr>
              <w:widowControl/>
              <w:tabs>
                <w:tab w:val="center" w:pos="4201"/>
                <w:tab w:val="right" w:leader="dot" w:pos="9298"/>
              </w:tabs>
              <w:autoSpaceDE w:val="0"/>
              <w:autoSpaceDN w:val="0"/>
              <w:adjustRightInd w:val="0"/>
              <w:rPr>
                <w:rFonts w:hint="eastAsia" w:ascii="宋体" w:eastAsia="宋体" w:cs="Times New Roman"/>
                <w:kern w:val="0"/>
                <w:lang w:eastAsia="zh-CN"/>
              </w:rPr>
            </w:pPr>
            <w:r>
              <w:rPr>
                <w:rFonts w:hint="eastAsia" w:ascii="宋体" w:cs="Times New Roman"/>
                <w:kern w:val="0"/>
                <w:lang w:eastAsia="zh-CN"/>
              </w:rPr>
              <w:t>土肥站站长</w:t>
            </w:r>
          </w:p>
        </w:tc>
        <w:tc>
          <w:tcPr>
            <w:tcW w:w="1485"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cs="Times New Roman"/>
                <w:kern w:val="0"/>
                <w:lang w:eastAsia="zh-CN"/>
              </w:rPr>
              <w:t>研究员</w:t>
            </w:r>
          </w:p>
        </w:tc>
        <w:tc>
          <w:tcPr>
            <w:tcW w:w="1372" w:type="dxa"/>
            <w:vAlign w:val="center"/>
          </w:tcPr>
          <w:p>
            <w:pPr>
              <w:widowControl/>
              <w:tabs>
                <w:tab w:val="center" w:pos="4201"/>
                <w:tab w:val="right" w:leader="dot" w:pos="9298"/>
              </w:tabs>
              <w:autoSpaceDE w:val="0"/>
              <w:autoSpaceDN w:val="0"/>
              <w:adjustRightInd w:val="0"/>
              <w:rPr>
                <w:rFonts w:hint="default" w:ascii="宋体" w:eastAsia="宋体" w:cs="Times New Roman"/>
                <w:kern w:val="0"/>
                <w:lang w:val="en-US" w:eastAsia="zh-CN"/>
              </w:rPr>
            </w:pPr>
            <w:r>
              <w:rPr>
                <w:rFonts w:hint="eastAsia" w:ascii="宋体" w:cs="Times New Roman"/>
                <w:kern w:val="0"/>
                <w:lang w:val="en-US" w:eastAsia="zh-CN"/>
              </w:rPr>
              <w:t>18956617001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eastAsia="宋体" w:cs="Times New Roman"/>
                <w:kern w:val="0"/>
                <w:lang w:val="en-US" w:eastAsia="zh-CN"/>
              </w:rPr>
            </w:pPr>
            <w:r>
              <w:rPr>
                <w:rFonts w:hint="eastAsia" w:ascii="宋体" w:cs="Times New Roman"/>
                <w:kern w:val="0"/>
                <w:lang w:val="en-US" w:eastAsia="zh-CN"/>
              </w:rPr>
              <w:t>4</w:t>
            </w:r>
          </w:p>
        </w:tc>
        <w:tc>
          <w:tcPr>
            <w:tcW w:w="870"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eastAsia="宋体" w:cs="Times New Roman"/>
                <w:kern w:val="0"/>
                <w:lang w:val="en-US" w:eastAsia="zh-CN"/>
              </w:rPr>
              <w:t>万含帅</w:t>
            </w:r>
          </w:p>
        </w:tc>
        <w:tc>
          <w:tcPr>
            <w:tcW w:w="3960" w:type="dxa"/>
            <w:vAlign w:val="center"/>
          </w:tcPr>
          <w:p>
            <w:pPr>
              <w:widowControl/>
              <w:tabs>
                <w:tab w:val="center" w:pos="4201"/>
                <w:tab w:val="right" w:leader="dot" w:pos="9298"/>
              </w:tabs>
              <w:autoSpaceDE w:val="0"/>
              <w:autoSpaceDN w:val="0"/>
              <w:adjustRightInd w:val="0"/>
              <w:rPr>
                <w:rFonts w:ascii="宋体" w:cs="Times New Roman"/>
                <w:kern w:val="0"/>
              </w:rPr>
            </w:pPr>
            <w:r>
              <w:rPr>
                <w:rFonts w:hint="eastAsia"/>
              </w:rPr>
              <w:t>池州市清溪环境科技咨询服务有限公司</w:t>
            </w:r>
          </w:p>
        </w:tc>
        <w:tc>
          <w:tcPr>
            <w:tcW w:w="1275" w:type="dxa"/>
            <w:vAlign w:val="center"/>
          </w:tcPr>
          <w:p>
            <w:pPr>
              <w:widowControl/>
              <w:tabs>
                <w:tab w:val="center" w:pos="4201"/>
                <w:tab w:val="right" w:leader="dot" w:pos="9298"/>
              </w:tabs>
              <w:autoSpaceDE w:val="0"/>
              <w:autoSpaceDN w:val="0"/>
              <w:adjustRightInd w:val="0"/>
              <w:rPr>
                <w:rFonts w:hint="default" w:ascii="宋体" w:eastAsia="宋体" w:cs="Times New Roman"/>
                <w:kern w:val="0"/>
                <w:lang w:val="en-US" w:eastAsia="zh-CN"/>
              </w:rPr>
            </w:pPr>
            <w:r>
              <w:rPr>
                <w:rFonts w:hint="eastAsia" w:ascii="宋体" w:cs="Times New Roman"/>
                <w:kern w:val="0"/>
                <w:lang w:eastAsia="zh-CN"/>
              </w:rPr>
              <w:t>技术</w:t>
            </w:r>
            <w:r>
              <w:rPr>
                <w:rFonts w:hint="eastAsia" w:ascii="宋体" w:cs="Times New Roman"/>
                <w:kern w:val="0"/>
                <w:lang w:val="en-US" w:eastAsia="zh-CN"/>
              </w:rPr>
              <w:t>负责人</w:t>
            </w:r>
          </w:p>
        </w:tc>
        <w:tc>
          <w:tcPr>
            <w:tcW w:w="1485" w:type="dxa"/>
            <w:vAlign w:val="center"/>
          </w:tcPr>
          <w:p>
            <w:pPr>
              <w:widowControl/>
              <w:tabs>
                <w:tab w:val="center" w:pos="4201"/>
                <w:tab w:val="right" w:leader="dot" w:pos="9298"/>
              </w:tabs>
              <w:autoSpaceDE w:val="0"/>
              <w:autoSpaceDN w:val="0"/>
              <w:adjustRightInd w:val="0"/>
              <w:ind w:firstLine="420" w:firstLineChars="200"/>
              <w:jc w:val="center"/>
              <w:rPr>
                <w:rFonts w:ascii="宋体" w:cs="Times New Roman"/>
                <w:kern w:val="0"/>
              </w:rPr>
            </w:pPr>
          </w:p>
        </w:tc>
        <w:tc>
          <w:tcPr>
            <w:tcW w:w="1372" w:type="dxa"/>
            <w:vAlign w:val="center"/>
          </w:tcPr>
          <w:p>
            <w:pPr>
              <w:widowControl/>
              <w:tabs>
                <w:tab w:val="center" w:pos="4201"/>
                <w:tab w:val="right" w:leader="dot" w:pos="9298"/>
              </w:tabs>
              <w:autoSpaceDE w:val="0"/>
              <w:autoSpaceDN w:val="0"/>
              <w:adjustRightInd w:val="0"/>
              <w:rPr>
                <w:rFonts w:ascii="宋体" w:cs="Times New Roman"/>
                <w:kern w:val="0"/>
              </w:rPr>
            </w:pPr>
            <w:r>
              <w:rPr>
                <w:rFonts w:hint="eastAsia" w:ascii="宋体" w:cs="Times New Roman"/>
                <w:kern w:val="0"/>
              </w:rPr>
              <w:t>15159890791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eastAsia="宋体" w:cs="Times New Roman"/>
                <w:kern w:val="0"/>
                <w:lang w:val="en-US" w:eastAsia="zh-CN"/>
              </w:rPr>
            </w:pPr>
            <w:r>
              <w:rPr>
                <w:rFonts w:hint="eastAsia" w:ascii="宋体" w:cs="Times New Roman"/>
                <w:kern w:val="0"/>
                <w:lang w:val="en-US" w:eastAsia="zh-CN"/>
              </w:rPr>
              <w:t>5</w:t>
            </w:r>
          </w:p>
        </w:tc>
        <w:tc>
          <w:tcPr>
            <w:tcW w:w="870"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cs="Times New Roman"/>
                <w:kern w:val="0"/>
                <w:lang w:eastAsia="zh-CN"/>
              </w:rPr>
              <w:t>胡佳贵</w:t>
            </w:r>
          </w:p>
        </w:tc>
        <w:tc>
          <w:tcPr>
            <w:tcW w:w="3960" w:type="dxa"/>
            <w:vAlign w:val="center"/>
          </w:tcPr>
          <w:p>
            <w:pPr>
              <w:widowControl/>
              <w:tabs>
                <w:tab w:val="center" w:pos="4201"/>
                <w:tab w:val="right" w:leader="dot" w:pos="9298"/>
              </w:tabs>
              <w:autoSpaceDE w:val="0"/>
              <w:autoSpaceDN w:val="0"/>
              <w:adjustRightInd w:val="0"/>
              <w:rPr>
                <w:rFonts w:ascii="宋体" w:cs="Times New Roman"/>
                <w:kern w:val="0"/>
              </w:rPr>
            </w:pPr>
            <w:r>
              <w:rPr>
                <w:rFonts w:hint="eastAsia"/>
              </w:rPr>
              <w:t>东至县农业农村综合技术服务中心</w:t>
            </w:r>
          </w:p>
        </w:tc>
        <w:tc>
          <w:tcPr>
            <w:tcW w:w="1275" w:type="dxa"/>
            <w:vAlign w:val="center"/>
          </w:tcPr>
          <w:p>
            <w:pPr>
              <w:widowControl/>
              <w:tabs>
                <w:tab w:val="center" w:pos="4201"/>
                <w:tab w:val="right" w:leader="dot" w:pos="9298"/>
              </w:tabs>
              <w:autoSpaceDE w:val="0"/>
              <w:autoSpaceDN w:val="0"/>
              <w:adjustRightInd w:val="0"/>
              <w:ind w:firstLine="210" w:firstLineChars="100"/>
              <w:rPr>
                <w:rFonts w:ascii="宋体" w:cs="Times New Roman"/>
                <w:kern w:val="0"/>
              </w:rPr>
            </w:pPr>
            <w:r>
              <w:rPr>
                <w:rFonts w:hint="eastAsia"/>
              </w:rPr>
              <w:t>副主任</w:t>
            </w: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rPr>
              <w:t>高级农艺师</w:t>
            </w:r>
          </w:p>
        </w:tc>
        <w:tc>
          <w:tcPr>
            <w:tcW w:w="1372" w:type="dxa"/>
            <w:vAlign w:val="center"/>
          </w:tcPr>
          <w:p>
            <w:pPr>
              <w:widowControl/>
              <w:tabs>
                <w:tab w:val="center" w:pos="4201"/>
                <w:tab w:val="right" w:leader="dot" w:pos="9298"/>
              </w:tabs>
              <w:autoSpaceDE w:val="0"/>
              <w:autoSpaceDN w:val="0"/>
              <w:adjustRightInd w:val="0"/>
              <w:rPr>
                <w:rFonts w:ascii="宋体" w:cs="Times New Roman"/>
                <w:kern w:val="0"/>
              </w:rPr>
            </w:pPr>
            <w:r>
              <w:rPr>
                <w:rFonts w:hint="eastAsia" w:ascii="宋体" w:cs="Times New Roman"/>
                <w:kern w:val="0"/>
                <w:lang w:val="en-US" w:eastAsia="zh-CN"/>
              </w:rPr>
              <w:t>15705661388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eastAsia="宋体" w:cs="Times New Roman"/>
                <w:kern w:val="0"/>
                <w:lang w:val="en-US" w:eastAsia="zh-CN"/>
              </w:rPr>
            </w:pPr>
            <w:r>
              <w:rPr>
                <w:rFonts w:hint="eastAsia" w:ascii="宋体" w:cs="Times New Roman"/>
                <w:kern w:val="0"/>
                <w:lang w:val="en-US" w:eastAsia="zh-CN"/>
              </w:rPr>
              <w:t>6</w:t>
            </w:r>
          </w:p>
        </w:tc>
        <w:tc>
          <w:tcPr>
            <w:tcW w:w="870"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eastAsia="宋体" w:cs="Times New Roman"/>
                <w:szCs w:val="21"/>
                <w:lang w:eastAsia="zh-CN"/>
              </w:rPr>
              <w:t>赵文</w:t>
            </w:r>
          </w:p>
        </w:tc>
        <w:tc>
          <w:tcPr>
            <w:tcW w:w="3960" w:type="dxa"/>
            <w:vAlign w:val="center"/>
          </w:tcPr>
          <w:p>
            <w:pPr>
              <w:widowControl/>
              <w:tabs>
                <w:tab w:val="center" w:pos="4201"/>
                <w:tab w:val="right" w:leader="dot" w:pos="9298"/>
              </w:tabs>
              <w:autoSpaceDE w:val="0"/>
              <w:autoSpaceDN w:val="0"/>
              <w:adjustRightInd w:val="0"/>
              <w:ind w:firstLine="420" w:firstLineChars="200"/>
              <w:rPr>
                <w:rFonts w:hint="eastAsia" w:ascii="宋体" w:eastAsia="宋体" w:cs="Times New Roman"/>
                <w:kern w:val="0"/>
                <w:lang w:eastAsia="zh-CN"/>
              </w:rPr>
            </w:pPr>
            <w:r>
              <w:rPr>
                <w:rFonts w:hint="eastAsia" w:ascii="宋体" w:cs="Times New Roman"/>
                <w:kern w:val="0"/>
                <w:lang w:eastAsia="zh-CN"/>
              </w:rPr>
              <w:t>青阳县农业技术推广中心</w:t>
            </w:r>
          </w:p>
        </w:tc>
        <w:tc>
          <w:tcPr>
            <w:tcW w:w="1275" w:type="dxa"/>
            <w:vAlign w:val="center"/>
          </w:tcPr>
          <w:p>
            <w:pPr>
              <w:widowControl/>
              <w:tabs>
                <w:tab w:val="center" w:pos="4201"/>
                <w:tab w:val="right" w:leader="dot" w:pos="9298"/>
              </w:tabs>
              <w:autoSpaceDE w:val="0"/>
              <w:autoSpaceDN w:val="0"/>
              <w:adjustRightInd w:val="0"/>
              <w:rPr>
                <w:rFonts w:ascii="宋体" w:cs="Times New Roman"/>
                <w:kern w:val="0"/>
              </w:rPr>
            </w:pPr>
            <w:r>
              <w:rPr>
                <w:rFonts w:hint="eastAsia" w:ascii="宋体" w:cs="Times New Roman"/>
                <w:kern w:val="0"/>
                <w:lang w:eastAsia="zh-CN"/>
              </w:rPr>
              <w:t>土肥站站长</w:t>
            </w: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cs="Times New Roman"/>
                <w:kern w:val="0"/>
                <w:lang w:eastAsia="zh-CN"/>
              </w:rPr>
              <w:t>农艺师</w:t>
            </w:r>
          </w:p>
        </w:tc>
        <w:tc>
          <w:tcPr>
            <w:tcW w:w="1372" w:type="dxa"/>
            <w:vAlign w:val="center"/>
          </w:tcPr>
          <w:p>
            <w:pPr>
              <w:widowControl/>
              <w:tabs>
                <w:tab w:val="center" w:pos="4201"/>
                <w:tab w:val="right" w:leader="dot" w:pos="9298"/>
              </w:tabs>
              <w:autoSpaceDE w:val="0"/>
              <w:autoSpaceDN w:val="0"/>
              <w:adjustRightInd w:val="0"/>
              <w:rPr>
                <w:rFonts w:hint="default" w:ascii="宋体" w:eastAsia="宋体" w:cs="Times New Roman"/>
                <w:kern w:val="0"/>
                <w:lang w:val="en-US" w:eastAsia="zh-CN"/>
              </w:rPr>
            </w:pPr>
            <w:r>
              <w:rPr>
                <w:rFonts w:hint="eastAsia" w:ascii="宋体" w:cs="Times New Roman"/>
                <w:kern w:val="0"/>
                <w:lang w:val="en-US" w:eastAsia="zh-CN"/>
              </w:rPr>
              <w:t>18056656733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eastAsia="宋体" w:cs="Times New Roman"/>
                <w:kern w:val="0"/>
                <w:lang w:val="en-US" w:eastAsia="zh-CN"/>
              </w:rPr>
            </w:pPr>
            <w:r>
              <w:rPr>
                <w:rFonts w:hint="eastAsia" w:ascii="宋体" w:cs="Times New Roman"/>
                <w:kern w:val="0"/>
                <w:lang w:val="en-US" w:eastAsia="zh-CN"/>
              </w:rPr>
              <w:t>7</w:t>
            </w:r>
          </w:p>
        </w:tc>
        <w:tc>
          <w:tcPr>
            <w:tcW w:w="870"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hAnsi="宋体" w:eastAsia="宋体" w:cs="Times New Roman"/>
                <w:szCs w:val="21"/>
                <w:lang w:eastAsia="zh-CN"/>
              </w:rPr>
              <w:t>王慧琴</w:t>
            </w:r>
          </w:p>
        </w:tc>
        <w:tc>
          <w:tcPr>
            <w:tcW w:w="3960" w:type="dxa"/>
            <w:vAlign w:val="center"/>
          </w:tcPr>
          <w:p>
            <w:pPr>
              <w:widowControl/>
              <w:tabs>
                <w:tab w:val="center" w:pos="4201"/>
                <w:tab w:val="right" w:leader="dot" w:pos="9298"/>
              </w:tabs>
              <w:autoSpaceDE w:val="0"/>
              <w:autoSpaceDN w:val="0"/>
              <w:adjustRightInd w:val="0"/>
              <w:ind w:firstLine="420" w:firstLineChars="200"/>
              <w:rPr>
                <w:rFonts w:hint="eastAsia" w:ascii="宋体" w:eastAsia="宋体" w:cs="Times New Roman"/>
                <w:kern w:val="0"/>
                <w:lang w:eastAsia="zh-CN"/>
              </w:rPr>
            </w:pPr>
            <w:r>
              <w:rPr>
                <w:rFonts w:hint="eastAsia" w:ascii="宋体" w:cs="Times New Roman"/>
                <w:kern w:val="0"/>
                <w:lang w:eastAsia="zh-CN"/>
              </w:rPr>
              <w:t>贵池区农业技术推广中心</w:t>
            </w:r>
          </w:p>
        </w:tc>
        <w:tc>
          <w:tcPr>
            <w:tcW w:w="1275" w:type="dxa"/>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cs="Times New Roman"/>
                <w:kern w:val="0"/>
                <w:lang w:eastAsia="zh-CN"/>
              </w:rPr>
              <w:t>农艺师</w:t>
            </w:r>
          </w:p>
        </w:tc>
        <w:tc>
          <w:tcPr>
            <w:tcW w:w="1372" w:type="dxa"/>
            <w:vAlign w:val="center"/>
          </w:tcPr>
          <w:p>
            <w:pPr>
              <w:widowControl/>
              <w:tabs>
                <w:tab w:val="center" w:pos="4201"/>
                <w:tab w:val="right" w:leader="dot" w:pos="9298"/>
              </w:tabs>
              <w:autoSpaceDE w:val="0"/>
              <w:autoSpaceDN w:val="0"/>
              <w:adjustRightInd w:val="0"/>
              <w:jc w:val="center"/>
              <w:rPr>
                <w:rFonts w:hint="default" w:ascii="宋体" w:eastAsia="宋体" w:cs="Times New Roman"/>
                <w:kern w:val="0"/>
                <w:lang w:val="en-US" w:eastAsia="zh-CN"/>
              </w:rPr>
            </w:pPr>
            <w:r>
              <w:rPr>
                <w:rFonts w:hint="eastAsia" w:ascii="宋体" w:cs="Times New Roman"/>
                <w:kern w:val="0"/>
                <w:lang w:val="en-US" w:eastAsia="zh-CN"/>
              </w:rPr>
              <w:t>13865668282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eastAsia="宋体" w:cs="Times New Roman"/>
                <w:kern w:val="0"/>
                <w:lang w:val="en-US" w:eastAsia="zh-CN"/>
              </w:rPr>
            </w:pPr>
            <w:r>
              <w:rPr>
                <w:rFonts w:hint="eastAsia" w:ascii="宋体" w:cs="Times New Roman"/>
                <w:kern w:val="0"/>
                <w:lang w:val="en-US" w:eastAsia="zh-CN"/>
              </w:rPr>
              <w:t>8</w:t>
            </w:r>
          </w:p>
        </w:tc>
        <w:tc>
          <w:tcPr>
            <w:tcW w:w="870" w:type="dxa"/>
            <w:shd w:val="clear" w:color="auto" w:fill="auto"/>
            <w:vAlign w:val="center"/>
          </w:tcPr>
          <w:p>
            <w:pPr>
              <w:widowControl/>
              <w:tabs>
                <w:tab w:val="center" w:pos="4201"/>
                <w:tab w:val="right" w:leader="dot" w:pos="9298"/>
              </w:tabs>
              <w:autoSpaceDE w:val="0"/>
              <w:autoSpaceDN w:val="0"/>
              <w:adjustRightInd w:val="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szCs w:val="21"/>
                <w:lang w:eastAsia="zh-CN"/>
              </w:rPr>
              <w:t>邱祥松</w:t>
            </w:r>
          </w:p>
        </w:tc>
        <w:tc>
          <w:tcPr>
            <w:tcW w:w="3960" w:type="dxa"/>
            <w:shd w:val="clear" w:color="auto" w:fill="auto"/>
            <w:vAlign w:val="center"/>
          </w:tcPr>
          <w:p>
            <w:pPr>
              <w:widowControl/>
              <w:tabs>
                <w:tab w:val="center" w:pos="4201"/>
                <w:tab w:val="right" w:leader="dot" w:pos="9298"/>
              </w:tabs>
              <w:autoSpaceDE w:val="0"/>
              <w:autoSpaceDN w:val="0"/>
              <w:adjustRightInd w:val="0"/>
              <w:rPr>
                <w:rFonts w:hint="eastAsia" w:ascii="宋体" w:hAnsi="Calibri" w:eastAsia="宋体" w:cs="Times New Roman"/>
                <w:kern w:val="0"/>
                <w:sz w:val="21"/>
                <w:szCs w:val="21"/>
                <w:lang w:val="en-US" w:eastAsia="zh-CN" w:bidi="ar-SA"/>
              </w:rPr>
            </w:pPr>
            <w:r>
              <w:rPr>
                <w:rFonts w:hint="eastAsia" w:ascii="宋体" w:cs="Times New Roman"/>
                <w:kern w:val="0"/>
                <w:sz w:val="18"/>
                <w:szCs w:val="18"/>
              </w:rPr>
              <w:t>池州市农业科学院（池州市农业技术推广中心）</w:t>
            </w:r>
          </w:p>
        </w:tc>
        <w:tc>
          <w:tcPr>
            <w:tcW w:w="1275" w:type="dxa"/>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p>
        </w:tc>
        <w:tc>
          <w:tcPr>
            <w:tcW w:w="1485"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rPr>
              <w:t>高级农艺师</w:t>
            </w:r>
          </w:p>
        </w:tc>
        <w:tc>
          <w:tcPr>
            <w:tcW w:w="1372" w:type="dxa"/>
            <w:vAlign w:val="center"/>
          </w:tcPr>
          <w:p>
            <w:pPr>
              <w:widowControl/>
              <w:tabs>
                <w:tab w:val="center" w:pos="4201"/>
                <w:tab w:val="right" w:leader="dot" w:pos="9298"/>
              </w:tabs>
              <w:autoSpaceDE w:val="0"/>
              <w:autoSpaceDN w:val="0"/>
              <w:adjustRightInd w:val="0"/>
              <w:rPr>
                <w:rFonts w:hint="default" w:ascii="宋体" w:eastAsia="宋体" w:cs="Times New Roman"/>
                <w:kern w:val="0"/>
                <w:lang w:val="en-US" w:eastAsia="zh-CN"/>
              </w:rPr>
            </w:pPr>
            <w:r>
              <w:rPr>
                <w:rFonts w:hint="eastAsia" w:ascii="宋体" w:cs="Times New Roman"/>
                <w:kern w:val="0"/>
                <w:lang w:val="en-US" w:eastAsia="zh-CN"/>
              </w:rPr>
              <w:t>13905660654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cs="Times New Roman"/>
                <w:kern w:val="0"/>
                <w:lang w:val="en-US" w:eastAsia="zh-CN"/>
              </w:rPr>
            </w:pPr>
            <w:r>
              <w:rPr>
                <w:rFonts w:hint="eastAsia" w:ascii="宋体" w:cs="Times New Roman"/>
                <w:kern w:val="0"/>
                <w:lang w:val="en-US" w:eastAsia="zh-CN"/>
              </w:rPr>
              <w:t>9</w:t>
            </w:r>
          </w:p>
        </w:tc>
        <w:tc>
          <w:tcPr>
            <w:tcW w:w="870"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cs="Times New Roman"/>
                <w:kern w:val="0"/>
                <w:lang w:eastAsia="zh-CN"/>
              </w:rPr>
              <w:t>朱慧芹</w:t>
            </w:r>
          </w:p>
        </w:tc>
        <w:tc>
          <w:tcPr>
            <w:tcW w:w="3960" w:type="dxa"/>
            <w:shd w:val="clear" w:color="auto" w:fill="auto"/>
            <w:vAlign w:val="center"/>
          </w:tcPr>
          <w:p>
            <w:pPr>
              <w:widowControl/>
              <w:tabs>
                <w:tab w:val="center" w:pos="4201"/>
                <w:tab w:val="right" w:leader="dot" w:pos="9298"/>
              </w:tabs>
              <w:autoSpaceDE w:val="0"/>
              <w:autoSpaceDN w:val="0"/>
              <w:adjustRightInd w:val="0"/>
              <w:rPr>
                <w:rFonts w:hint="eastAsia" w:ascii="宋体" w:hAnsi="Calibri" w:eastAsia="宋体" w:cs="Times New Roman"/>
                <w:kern w:val="0"/>
                <w:sz w:val="21"/>
                <w:szCs w:val="21"/>
                <w:lang w:val="en-US" w:eastAsia="zh-CN" w:bidi="ar-SA"/>
              </w:rPr>
            </w:pPr>
            <w:r>
              <w:rPr>
                <w:rFonts w:hint="eastAsia" w:ascii="宋体" w:cs="Times New Roman"/>
                <w:kern w:val="0"/>
                <w:sz w:val="18"/>
                <w:szCs w:val="18"/>
              </w:rPr>
              <w:t>池州市农业科学院（池州市农业技术推广中心）</w:t>
            </w:r>
          </w:p>
        </w:tc>
        <w:tc>
          <w:tcPr>
            <w:tcW w:w="1275" w:type="dxa"/>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cs="Times New Roman"/>
                <w:kern w:val="0"/>
                <w:lang w:eastAsia="zh-CN"/>
              </w:rPr>
              <w:t>农艺师</w:t>
            </w:r>
          </w:p>
        </w:tc>
        <w:tc>
          <w:tcPr>
            <w:tcW w:w="1372" w:type="dxa"/>
            <w:vAlign w:val="center"/>
          </w:tcPr>
          <w:p>
            <w:pPr>
              <w:widowControl/>
              <w:tabs>
                <w:tab w:val="center" w:pos="4201"/>
                <w:tab w:val="right" w:leader="dot" w:pos="9298"/>
              </w:tabs>
              <w:autoSpaceDE w:val="0"/>
              <w:autoSpaceDN w:val="0"/>
              <w:adjustRightInd w:val="0"/>
              <w:rPr>
                <w:rFonts w:hint="default" w:ascii="宋体" w:eastAsia="宋体" w:cs="Times New Roman"/>
                <w:kern w:val="0"/>
                <w:lang w:val="en-US" w:eastAsia="zh-CN"/>
              </w:rPr>
            </w:pPr>
            <w:r>
              <w:rPr>
                <w:rFonts w:hint="eastAsia" w:ascii="宋体" w:cs="Times New Roman"/>
                <w:kern w:val="0"/>
                <w:lang w:val="en-US" w:eastAsia="zh-CN"/>
              </w:rPr>
              <w:t>18956699957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cs="Times New Roman"/>
                <w:kern w:val="0"/>
                <w:lang w:val="en-US" w:eastAsia="zh-CN"/>
              </w:rPr>
            </w:pPr>
            <w:r>
              <w:rPr>
                <w:rFonts w:hint="eastAsia" w:ascii="宋体" w:cs="Times New Roman"/>
                <w:kern w:val="0"/>
                <w:lang w:val="en-US" w:eastAsia="zh-CN"/>
              </w:rPr>
              <w:t>10</w:t>
            </w:r>
          </w:p>
        </w:tc>
        <w:tc>
          <w:tcPr>
            <w:tcW w:w="870"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lang w:eastAsia="zh-CN"/>
              </w:rPr>
            </w:pPr>
            <w:r>
              <w:rPr>
                <w:rFonts w:hint="eastAsia" w:ascii="宋体" w:cs="Times New Roman"/>
                <w:kern w:val="0"/>
                <w:lang w:eastAsia="zh-CN"/>
              </w:rPr>
              <w:t>钟</w:t>
            </w:r>
            <w:r>
              <w:rPr>
                <w:rFonts w:hint="eastAsia" w:ascii="宋体" w:cs="Times New Roman"/>
                <w:color w:val="auto"/>
                <w:kern w:val="0"/>
                <w:lang w:eastAsia="zh-CN"/>
              </w:rPr>
              <w:t>国花</w:t>
            </w:r>
          </w:p>
        </w:tc>
        <w:tc>
          <w:tcPr>
            <w:tcW w:w="3960" w:type="dxa"/>
            <w:shd w:val="clear" w:color="auto" w:fill="auto"/>
            <w:vAlign w:val="center"/>
          </w:tcPr>
          <w:p>
            <w:pPr>
              <w:widowControl/>
              <w:tabs>
                <w:tab w:val="center" w:pos="4201"/>
                <w:tab w:val="right" w:leader="dot" w:pos="9298"/>
              </w:tabs>
              <w:autoSpaceDE w:val="0"/>
              <w:autoSpaceDN w:val="0"/>
              <w:adjustRightInd w:val="0"/>
              <w:rPr>
                <w:rFonts w:ascii="宋体" w:hAnsi="Calibri" w:eastAsia="宋体" w:cs="Times New Roman"/>
                <w:kern w:val="0"/>
                <w:sz w:val="21"/>
                <w:szCs w:val="21"/>
                <w:lang w:val="en-US" w:eastAsia="zh-CN" w:bidi="ar-SA"/>
              </w:rPr>
            </w:pPr>
            <w:r>
              <w:rPr>
                <w:rFonts w:hint="eastAsia" w:ascii="宋体" w:cs="Times New Roman"/>
                <w:kern w:val="0"/>
                <w:sz w:val="18"/>
                <w:szCs w:val="18"/>
              </w:rPr>
              <w:t>池州市农业科学院（池州市农业技术推广中心）</w:t>
            </w:r>
          </w:p>
        </w:tc>
        <w:tc>
          <w:tcPr>
            <w:tcW w:w="1275" w:type="dxa"/>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cs="Times New Roman"/>
                <w:kern w:val="0"/>
                <w:lang w:eastAsia="zh-CN"/>
              </w:rPr>
              <w:t>农艺师</w:t>
            </w:r>
          </w:p>
        </w:tc>
        <w:tc>
          <w:tcPr>
            <w:tcW w:w="1372" w:type="dxa"/>
            <w:vAlign w:val="center"/>
          </w:tcPr>
          <w:p>
            <w:pPr>
              <w:widowControl/>
              <w:tabs>
                <w:tab w:val="center" w:pos="4201"/>
                <w:tab w:val="right" w:leader="dot" w:pos="9298"/>
              </w:tabs>
              <w:autoSpaceDE w:val="0"/>
              <w:autoSpaceDN w:val="0"/>
              <w:adjustRightInd w:val="0"/>
              <w:rPr>
                <w:rFonts w:hint="default" w:ascii="宋体" w:eastAsia="宋体" w:cs="Times New Roman"/>
                <w:kern w:val="0"/>
                <w:lang w:val="en-US" w:eastAsia="zh-CN"/>
              </w:rPr>
            </w:pPr>
            <w:r>
              <w:rPr>
                <w:rFonts w:hint="eastAsia" w:ascii="宋体" w:cs="Times New Roman"/>
                <w:kern w:val="0"/>
                <w:lang w:val="en-US" w:eastAsia="zh-CN"/>
              </w:rPr>
              <w:t>18956699908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cs="Times New Roman"/>
                <w:kern w:val="0"/>
                <w:lang w:val="en-US" w:eastAsia="zh-CN"/>
              </w:rPr>
            </w:pPr>
            <w:r>
              <w:rPr>
                <w:rFonts w:hint="eastAsia" w:ascii="宋体" w:cs="Times New Roman"/>
                <w:kern w:val="0"/>
                <w:lang w:val="en-US" w:eastAsia="zh-CN"/>
              </w:rPr>
              <w:t>11</w:t>
            </w:r>
          </w:p>
        </w:tc>
        <w:tc>
          <w:tcPr>
            <w:tcW w:w="870"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eastAsia="宋体" w:cs="Times New Roman"/>
                <w:szCs w:val="21"/>
                <w:lang w:eastAsia="zh-CN"/>
              </w:rPr>
              <w:t>彭</w:t>
            </w:r>
            <w:r>
              <w:rPr>
                <w:rFonts w:hint="eastAsia" w:ascii="宋体" w:hAnsi="宋体" w:cs="Times New Roman"/>
                <w:szCs w:val="21"/>
                <w:lang w:eastAsia="zh-CN"/>
              </w:rPr>
              <w:t>东东</w:t>
            </w:r>
          </w:p>
        </w:tc>
        <w:tc>
          <w:tcPr>
            <w:tcW w:w="3960" w:type="dxa"/>
            <w:shd w:val="clear" w:color="auto" w:fill="auto"/>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 w:val="21"/>
                <w:szCs w:val="21"/>
                <w:lang w:val="en-US" w:eastAsia="zh-CN" w:bidi="ar-SA"/>
              </w:rPr>
            </w:pPr>
            <w:r>
              <w:rPr>
                <w:rFonts w:hint="eastAsia" w:ascii="宋体" w:cs="Times New Roman"/>
                <w:kern w:val="0"/>
                <w:lang w:eastAsia="zh-CN"/>
              </w:rPr>
              <w:t>石台县农业技术推广中心</w:t>
            </w:r>
          </w:p>
        </w:tc>
        <w:tc>
          <w:tcPr>
            <w:tcW w:w="1275" w:type="dxa"/>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cs="Times New Roman"/>
                <w:kern w:val="0"/>
                <w:lang w:eastAsia="zh-CN"/>
              </w:rPr>
              <w:t>农艺师</w:t>
            </w:r>
          </w:p>
        </w:tc>
        <w:tc>
          <w:tcPr>
            <w:tcW w:w="1372" w:type="dxa"/>
            <w:vAlign w:val="center"/>
          </w:tcPr>
          <w:p>
            <w:pPr>
              <w:widowControl/>
              <w:tabs>
                <w:tab w:val="center" w:pos="4201"/>
                <w:tab w:val="right" w:leader="dot" w:pos="9298"/>
              </w:tabs>
              <w:autoSpaceDE w:val="0"/>
              <w:autoSpaceDN w:val="0"/>
              <w:adjustRightInd w:val="0"/>
              <w:rPr>
                <w:rFonts w:ascii="宋体" w:cs="Times New Roman"/>
                <w:kern w:val="0"/>
              </w:rPr>
            </w:pPr>
            <w:r>
              <w:rPr>
                <w:rFonts w:hint="eastAsia" w:ascii="宋体" w:cs="Times New Roman"/>
                <w:kern w:val="0"/>
                <w:lang w:val="en-US" w:eastAsia="zh-CN"/>
              </w:rPr>
              <w:t>17756620579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cs="Times New Roman"/>
                <w:kern w:val="0"/>
                <w:lang w:val="en-US" w:eastAsia="zh-CN"/>
              </w:rPr>
            </w:pPr>
            <w:r>
              <w:rPr>
                <w:rFonts w:hint="eastAsia" w:ascii="宋体" w:cs="Times New Roman"/>
                <w:kern w:val="0"/>
                <w:lang w:val="en-US" w:eastAsia="zh-CN"/>
              </w:rPr>
              <w:t>12</w:t>
            </w:r>
          </w:p>
        </w:tc>
        <w:tc>
          <w:tcPr>
            <w:tcW w:w="870"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eastAsia="宋体" w:cs="Times New Roman"/>
                <w:szCs w:val="21"/>
                <w:lang w:eastAsia="zh-CN"/>
              </w:rPr>
              <w:t>鲍赛红</w:t>
            </w:r>
          </w:p>
        </w:tc>
        <w:tc>
          <w:tcPr>
            <w:tcW w:w="3960" w:type="dxa"/>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r>
              <w:rPr>
                <w:rFonts w:hint="eastAsia" w:ascii="宋体" w:cs="Times New Roman"/>
                <w:kern w:val="0"/>
                <w:lang w:eastAsia="zh-CN"/>
              </w:rPr>
              <w:t>贵池区农业技术推广中心</w:t>
            </w:r>
          </w:p>
        </w:tc>
        <w:tc>
          <w:tcPr>
            <w:tcW w:w="1275" w:type="dxa"/>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cs="Times New Roman"/>
                <w:kern w:val="0"/>
                <w:lang w:eastAsia="zh-CN"/>
              </w:rPr>
              <w:t>农艺师</w:t>
            </w:r>
          </w:p>
        </w:tc>
        <w:tc>
          <w:tcPr>
            <w:tcW w:w="1372" w:type="dxa"/>
            <w:vAlign w:val="center"/>
          </w:tcPr>
          <w:p>
            <w:pPr>
              <w:widowControl/>
              <w:tabs>
                <w:tab w:val="center" w:pos="4201"/>
                <w:tab w:val="right" w:leader="dot" w:pos="9298"/>
              </w:tabs>
              <w:autoSpaceDE w:val="0"/>
              <w:autoSpaceDN w:val="0"/>
              <w:adjustRightInd w:val="0"/>
              <w:rPr>
                <w:rFonts w:hint="default" w:ascii="宋体" w:eastAsia="宋体" w:cs="Times New Roman"/>
                <w:kern w:val="0"/>
                <w:lang w:val="en-US" w:eastAsia="zh-CN"/>
              </w:rPr>
            </w:pPr>
            <w:r>
              <w:rPr>
                <w:rFonts w:hint="eastAsia" w:ascii="宋体" w:cs="Times New Roman"/>
                <w:kern w:val="0"/>
                <w:lang w:val="en-US" w:eastAsia="zh-CN"/>
              </w:rPr>
              <w:t>15956632727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cs="Times New Roman"/>
                <w:kern w:val="0"/>
                <w:lang w:val="en-US" w:eastAsia="zh-CN"/>
              </w:rPr>
            </w:pPr>
            <w:r>
              <w:rPr>
                <w:rFonts w:hint="eastAsia" w:ascii="宋体" w:cs="Times New Roman"/>
                <w:kern w:val="0"/>
                <w:lang w:val="en-US" w:eastAsia="zh-CN"/>
              </w:rPr>
              <w:t>13</w:t>
            </w:r>
          </w:p>
        </w:tc>
        <w:tc>
          <w:tcPr>
            <w:tcW w:w="870" w:type="dxa"/>
            <w:vAlign w:val="center"/>
          </w:tcPr>
          <w:p>
            <w:pPr>
              <w:widowControl/>
              <w:tabs>
                <w:tab w:val="center" w:pos="4201"/>
                <w:tab w:val="right" w:leader="dot" w:pos="9298"/>
              </w:tabs>
              <w:autoSpaceDE w:val="0"/>
              <w:autoSpaceDN w:val="0"/>
              <w:adjustRightInd w:val="0"/>
              <w:jc w:val="center"/>
              <w:rPr>
                <w:rFonts w:hint="eastAsia" w:ascii="宋体" w:hAnsi="宋体" w:eastAsia="宋体" w:cs="Times New Roman"/>
                <w:szCs w:val="21"/>
                <w:lang w:eastAsia="zh-CN"/>
              </w:rPr>
            </w:pPr>
            <w:r>
              <w:rPr>
                <w:rFonts w:hint="eastAsia" w:ascii="宋体" w:hAnsi="宋体" w:eastAsia="宋体" w:cs="Times New Roman"/>
                <w:szCs w:val="21"/>
                <w:lang w:eastAsia="zh-CN"/>
              </w:rPr>
              <w:t>许春生</w:t>
            </w:r>
          </w:p>
        </w:tc>
        <w:tc>
          <w:tcPr>
            <w:tcW w:w="3960" w:type="dxa"/>
            <w:vAlign w:val="center"/>
          </w:tcPr>
          <w:p>
            <w:pPr>
              <w:widowControl/>
              <w:tabs>
                <w:tab w:val="center" w:pos="4201"/>
                <w:tab w:val="right" w:leader="dot" w:pos="9298"/>
              </w:tabs>
              <w:autoSpaceDE w:val="0"/>
              <w:autoSpaceDN w:val="0"/>
              <w:adjustRightInd w:val="0"/>
              <w:ind w:firstLine="210" w:firstLineChars="100"/>
              <w:rPr>
                <w:rFonts w:ascii="宋体" w:cs="Times New Roman"/>
                <w:kern w:val="0"/>
              </w:rPr>
            </w:pPr>
            <w:r>
              <w:rPr>
                <w:rFonts w:hint="eastAsia"/>
              </w:rPr>
              <w:t>东至县尧渡镇农业技术推广站</w:t>
            </w:r>
          </w:p>
        </w:tc>
        <w:tc>
          <w:tcPr>
            <w:tcW w:w="1275" w:type="dxa"/>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rPr>
              <w:t>高级农艺师</w:t>
            </w:r>
          </w:p>
        </w:tc>
        <w:tc>
          <w:tcPr>
            <w:tcW w:w="1372" w:type="dxa"/>
            <w:vAlign w:val="center"/>
          </w:tcPr>
          <w:p>
            <w:pPr>
              <w:widowControl/>
              <w:tabs>
                <w:tab w:val="center" w:pos="4201"/>
                <w:tab w:val="right" w:leader="dot" w:pos="9298"/>
              </w:tabs>
              <w:autoSpaceDE w:val="0"/>
              <w:autoSpaceDN w:val="0"/>
              <w:adjustRightInd w:val="0"/>
              <w:rPr>
                <w:rFonts w:ascii="宋体" w:cs="Times New Roman"/>
                <w:kern w:val="0"/>
              </w:rPr>
            </w:pPr>
            <w:r>
              <w:rPr>
                <w:rFonts w:hint="eastAsia" w:ascii="宋体" w:cs="Times New Roman"/>
                <w:kern w:val="0"/>
                <w:lang w:val="en-US" w:eastAsia="zh-CN"/>
              </w:rPr>
              <w:t>18656662618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9" w:type="dxa"/>
            <w:vAlign w:val="center"/>
          </w:tcPr>
          <w:p>
            <w:pPr>
              <w:widowControl/>
              <w:tabs>
                <w:tab w:val="center" w:pos="4201"/>
                <w:tab w:val="right" w:leader="dot" w:pos="9298"/>
              </w:tabs>
              <w:autoSpaceDE w:val="0"/>
              <w:autoSpaceDN w:val="0"/>
              <w:adjustRightInd w:val="0"/>
              <w:jc w:val="center"/>
              <w:rPr>
                <w:rFonts w:hint="default" w:ascii="宋体" w:cs="Times New Roman"/>
                <w:kern w:val="0"/>
                <w:lang w:val="en-US" w:eastAsia="zh-CN"/>
              </w:rPr>
            </w:pPr>
            <w:r>
              <w:rPr>
                <w:rFonts w:hint="eastAsia" w:ascii="宋体" w:cs="Times New Roman"/>
                <w:kern w:val="0"/>
                <w:lang w:val="en-US" w:eastAsia="zh-CN"/>
              </w:rPr>
              <w:t>14</w:t>
            </w:r>
          </w:p>
        </w:tc>
        <w:tc>
          <w:tcPr>
            <w:tcW w:w="870" w:type="dxa"/>
            <w:vAlign w:val="center"/>
          </w:tcPr>
          <w:p>
            <w:pPr>
              <w:widowControl/>
              <w:tabs>
                <w:tab w:val="center" w:pos="4201"/>
                <w:tab w:val="right" w:leader="dot" w:pos="9298"/>
              </w:tabs>
              <w:autoSpaceDE w:val="0"/>
              <w:autoSpaceDN w:val="0"/>
              <w:adjustRightInd w:val="0"/>
              <w:jc w:val="center"/>
              <w:rPr>
                <w:rFonts w:hint="eastAsia" w:ascii="宋体" w:hAnsi="宋体" w:eastAsia="宋体" w:cs="Times New Roman"/>
                <w:szCs w:val="21"/>
                <w:lang w:eastAsia="zh-CN"/>
              </w:rPr>
            </w:pPr>
            <w:r>
              <w:rPr>
                <w:rFonts w:hint="eastAsia" w:ascii="宋体" w:hAnsi="宋体" w:eastAsia="宋体" w:cs="Times New Roman"/>
                <w:szCs w:val="21"/>
                <w:lang w:eastAsia="zh-CN"/>
              </w:rPr>
              <w:t>朱国英</w:t>
            </w:r>
          </w:p>
        </w:tc>
        <w:tc>
          <w:tcPr>
            <w:tcW w:w="3960" w:type="dxa"/>
            <w:vAlign w:val="center"/>
          </w:tcPr>
          <w:p>
            <w:pPr>
              <w:widowControl/>
              <w:tabs>
                <w:tab w:val="center" w:pos="4201"/>
                <w:tab w:val="right" w:leader="dot" w:pos="9298"/>
              </w:tabs>
              <w:autoSpaceDE w:val="0"/>
              <w:autoSpaceDN w:val="0"/>
              <w:adjustRightInd w:val="0"/>
              <w:rPr>
                <w:rFonts w:hint="eastAsia" w:ascii="宋体" w:eastAsia="宋体" w:cs="Times New Roman"/>
                <w:kern w:val="0"/>
                <w:lang w:eastAsia="zh-CN"/>
              </w:rPr>
            </w:pPr>
            <w:r>
              <w:rPr>
                <w:rFonts w:hint="eastAsia" w:ascii="宋体" w:cs="Times New Roman"/>
                <w:kern w:val="0"/>
                <w:sz w:val="18"/>
                <w:szCs w:val="18"/>
              </w:rPr>
              <w:t>池州市农业科学院（池州市农业技术推广中心）</w:t>
            </w:r>
          </w:p>
        </w:tc>
        <w:tc>
          <w:tcPr>
            <w:tcW w:w="1275" w:type="dxa"/>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p>
        </w:tc>
        <w:tc>
          <w:tcPr>
            <w:tcW w:w="1485" w:type="dxa"/>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rPr>
              <w:t>高级农艺师</w:t>
            </w:r>
          </w:p>
        </w:tc>
        <w:tc>
          <w:tcPr>
            <w:tcW w:w="1372" w:type="dxa"/>
            <w:vAlign w:val="center"/>
          </w:tcPr>
          <w:p>
            <w:pPr>
              <w:widowControl/>
              <w:tabs>
                <w:tab w:val="center" w:pos="4201"/>
                <w:tab w:val="right" w:leader="dot" w:pos="9298"/>
              </w:tabs>
              <w:autoSpaceDE w:val="0"/>
              <w:autoSpaceDN w:val="0"/>
              <w:adjustRightInd w:val="0"/>
              <w:rPr>
                <w:rFonts w:hint="default" w:ascii="宋体" w:eastAsia="宋体" w:cs="Times New Roman"/>
                <w:kern w:val="0"/>
                <w:lang w:val="en-US" w:eastAsia="zh-CN"/>
              </w:rPr>
            </w:pPr>
            <w:r>
              <w:rPr>
                <w:rFonts w:hint="eastAsia" w:ascii="宋体" w:cs="Times New Roman"/>
                <w:kern w:val="0"/>
                <w:lang w:val="en-US" w:eastAsia="zh-CN"/>
              </w:rPr>
              <w:t>18956681719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2" w:firstLineChars="200"/>
              <w:jc w:val="center"/>
              <w:rPr>
                <w:rFonts w:ascii="宋体" w:cs="Times New Roman"/>
                <w:b/>
                <w:bCs/>
                <w:kern w:val="0"/>
              </w:rPr>
            </w:pPr>
            <w:r>
              <w:rPr>
                <w:rFonts w:hint="eastAsia" w:ascii="宋体" w:hAnsi="宋体" w:cs="宋体"/>
                <w:b/>
                <w:bCs/>
                <w:kern w:val="0"/>
              </w:rPr>
              <w:t>编制情况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rPr>
                <w:rFonts w:ascii="宋体" w:cs="Times New Roman"/>
                <w:kern w:val="0"/>
              </w:rPr>
            </w:pPr>
            <w:r>
              <w:rPr>
                <w:rFonts w:ascii="宋体" w:hAnsi="宋体" w:cs="宋体"/>
                <w:kern w:val="0"/>
              </w:rPr>
              <w:t>1</w:t>
            </w:r>
            <w:r>
              <w:rPr>
                <w:rFonts w:hint="eastAsia" w:ascii="宋体" w:hAnsi="宋体" w:cs="宋体"/>
                <w:kern w:val="0"/>
              </w:rPr>
              <w:t>、编制过程简介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1" w:hRule="atLeast"/>
          <w:jc w:val="center"/>
        </w:trPr>
        <w:tc>
          <w:tcPr>
            <w:tcW w:w="9571" w:type="dxa"/>
            <w:gridSpan w:val="6"/>
            <w:vAlign w:val="center"/>
          </w:tcPr>
          <w:p>
            <w:pPr>
              <w:pStyle w:val="7"/>
              <w:keepNext w:val="0"/>
              <w:keepLines w:val="0"/>
              <w:pageBreakBefore w:val="0"/>
              <w:widowControl/>
              <w:kinsoku/>
              <w:wordWrap/>
              <w:overflowPunct/>
              <w:topLinePunct w:val="0"/>
              <w:autoSpaceDE w:val="0"/>
              <w:autoSpaceDN w:val="0"/>
              <w:bidi w:val="0"/>
              <w:spacing w:line="240" w:lineRule="auto"/>
              <w:textAlignment w:val="auto"/>
              <w:rPr>
                <w:rFonts w:hint="eastAsia" w:ascii="宋体" w:hAnsi="宋体" w:eastAsia="宋体" w:cs="Times New Roman"/>
                <w:szCs w:val="21"/>
              </w:rPr>
            </w:pPr>
            <w:r>
              <w:rPr>
                <w:rFonts w:hint="eastAsia" w:hAnsi="宋体"/>
                <w:szCs w:val="21"/>
              </w:rPr>
              <w:t>2</w:t>
            </w:r>
            <w:r>
              <w:rPr>
                <w:rFonts w:hAnsi="宋体"/>
                <w:szCs w:val="21"/>
              </w:rPr>
              <w:t>02</w:t>
            </w:r>
            <w:r>
              <w:rPr>
                <w:rFonts w:hint="eastAsia" w:hAnsi="宋体"/>
                <w:szCs w:val="21"/>
              </w:rPr>
              <w:t>4年</w:t>
            </w:r>
            <w:r>
              <w:rPr>
                <w:rFonts w:hAnsi="宋体"/>
                <w:szCs w:val="21"/>
              </w:rPr>
              <w:t>6</w:t>
            </w:r>
            <w:r>
              <w:rPr>
                <w:rFonts w:hint="eastAsia" w:hAnsi="宋体"/>
                <w:szCs w:val="21"/>
              </w:rPr>
              <w:t>月5日，收到</w:t>
            </w:r>
            <w:r>
              <w:rPr>
                <w:rFonts w:hint="eastAsia"/>
              </w:rPr>
              <w:t>池州市市场监督管理局《关于下达2024年第二批池州市地方标准制（修）订计划项目的通知》（池市监函〔2024〕57号）文件后，</w:t>
            </w:r>
            <w:r>
              <w:rPr>
                <w:rFonts w:hint="eastAsia" w:hAnsi="宋体"/>
                <w:szCs w:val="21"/>
              </w:rPr>
              <w:t>成立标准编制小组，由池州市农业科学院（池州市农业技术推广中心）张玲霞负责，成员有纪根学、吴新德、</w:t>
            </w:r>
            <w:r>
              <w:rPr>
                <w:rFonts w:hint="eastAsia" w:ascii="宋体" w:eastAsia="宋体" w:cs="Times New Roman"/>
                <w:kern w:val="0"/>
                <w:lang w:val="en-US" w:eastAsia="zh-CN"/>
              </w:rPr>
              <w:t>万含帅、</w:t>
            </w:r>
            <w:r>
              <w:rPr>
                <w:rFonts w:hint="eastAsia" w:ascii="宋体" w:hAnsi="宋体" w:eastAsia="宋体" w:cs="Times New Roman"/>
                <w:szCs w:val="21"/>
                <w:lang w:eastAsia="zh-CN"/>
              </w:rPr>
              <w:t>胡佳贵、赵文</w:t>
            </w:r>
            <w:r>
              <w:rPr>
                <w:rFonts w:hint="eastAsia" w:ascii="宋体" w:hAnsi="宋体" w:eastAsia="宋体" w:cs="Times New Roman"/>
                <w:szCs w:val="21"/>
              </w:rPr>
              <w:t>、</w:t>
            </w:r>
            <w:r>
              <w:rPr>
                <w:rFonts w:hint="eastAsia" w:ascii="宋体" w:hAnsi="宋体" w:eastAsia="宋体" w:cs="Times New Roman"/>
                <w:szCs w:val="21"/>
                <w:lang w:eastAsia="zh-CN"/>
              </w:rPr>
              <w:t>王慧琴、邱祥松</w:t>
            </w:r>
            <w:r>
              <w:rPr>
                <w:rFonts w:hint="eastAsia" w:ascii="宋体" w:hAnsi="宋体" w:eastAsia="宋体" w:cs="Times New Roman"/>
                <w:szCs w:val="21"/>
                <w:lang w:val="en-US" w:eastAsia="zh-CN"/>
              </w:rPr>
              <w:t>、</w:t>
            </w:r>
            <w:r>
              <w:rPr>
                <w:rFonts w:hint="eastAsia" w:ascii="宋体" w:cs="Times New Roman"/>
                <w:kern w:val="0"/>
                <w:lang w:eastAsia="zh-CN"/>
              </w:rPr>
              <w:t>朱慧芹</w:t>
            </w:r>
            <w:r>
              <w:rPr>
                <w:rFonts w:hint="eastAsia" w:cs="Times New Roman"/>
                <w:kern w:val="0"/>
                <w:lang w:eastAsia="zh-CN"/>
              </w:rPr>
              <w:t>、</w:t>
            </w:r>
            <w:r>
              <w:rPr>
                <w:rFonts w:hint="eastAsia" w:hAnsi="宋体" w:cs="Times New Roman"/>
                <w:szCs w:val="21"/>
                <w:lang w:val="en-US" w:eastAsia="zh-CN"/>
              </w:rPr>
              <w:t>钟国花、</w:t>
            </w:r>
            <w:r>
              <w:rPr>
                <w:rFonts w:hint="eastAsia" w:ascii="宋体" w:hAnsi="宋体" w:eastAsia="宋体" w:cs="Times New Roman"/>
                <w:szCs w:val="21"/>
                <w:lang w:eastAsia="zh-CN"/>
              </w:rPr>
              <w:t>彭</w:t>
            </w:r>
            <w:r>
              <w:rPr>
                <w:rFonts w:hint="eastAsia" w:hAnsi="宋体" w:cs="Times New Roman"/>
                <w:szCs w:val="21"/>
                <w:lang w:eastAsia="zh-CN"/>
              </w:rPr>
              <w:t>东东</w:t>
            </w:r>
            <w:r>
              <w:rPr>
                <w:rFonts w:hint="eastAsia" w:ascii="宋体" w:hAnsi="宋体" w:eastAsia="宋体" w:cs="Times New Roman"/>
                <w:szCs w:val="21"/>
                <w:lang w:eastAsia="zh-CN"/>
              </w:rPr>
              <w:t>、鲍赛红、许春生</w:t>
            </w:r>
            <w:r>
              <w:rPr>
                <w:rFonts w:hint="eastAsia" w:hAnsi="宋体" w:cs="Times New Roman"/>
                <w:szCs w:val="21"/>
                <w:lang w:eastAsia="zh-CN"/>
              </w:rPr>
              <w:t>、</w:t>
            </w:r>
            <w:r>
              <w:rPr>
                <w:rFonts w:hint="eastAsia" w:ascii="宋体" w:hAnsi="宋体" w:eastAsia="宋体" w:cs="Times New Roman"/>
                <w:szCs w:val="21"/>
                <w:lang w:eastAsia="zh-CN"/>
              </w:rPr>
              <w:t>朱国英</w:t>
            </w:r>
            <w:r>
              <w:rPr>
                <w:rFonts w:hint="eastAsia" w:ascii="宋体" w:hAnsi="宋体" w:eastAsia="宋体" w:cs="Times New Roman"/>
                <w:szCs w:val="21"/>
              </w:rPr>
              <w:t>。</w:t>
            </w:r>
          </w:p>
          <w:p>
            <w:pPr>
              <w:pStyle w:val="7"/>
              <w:keepNext w:val="0"/>
              <w:keepLines w:val="0"/>
              <w:pageBreakBefore w:val="0"/>
              <w:widowControl/>
              <w:kinsoku/>
              <w:wordWrap/>
              <w:overflowPunct/>
              <w:topLinePunct w:val="0"/>
              <w:autoSpaceDE w:val="0"/>
              <w:autoSpaceDN w:val="0"/>
              <w:bidi w:val="0"/>
              <w:adjustRightInd w:val="0"/>
              <w:snapToGrid w:val="0"/>
              <w:spacing w:line="240" w:lineRule="auto"/>
              <w:textAlignment w:val="auto"/>
              <w:rPr>
                <w:rFonts w:ascii="宋体" w:cs="Times New Roman"/>
                <w:kern w:val="0"/>
              </w:rPr>
            </w:pPr>
            <w:r>
              <w:rPr>
                <w:rFonts w:hint="eastAsia" w:ascii="宋体" w:hAnsi="宋体" w:cs="宋体"/>
                <w:kern w:val="0"/>
              </w:rPr>
              <w:t>标准起草过程：</w:t>
            </w:r>
            <w:r>
              <w:rPr>
                <w:rFonts w:hint="eastAsia" w:ascii="宋体" w:hAnsi="宋体" w:cs="Times New Roman"/>
                <w:kern w:val="0"/>
              </w:rPr>
              <w:t>2020年以来，</w:t>
            </w:r>
            <w:r>
              <w:rPr>
                <w:rFonts w:hint="eastAsia" w:hAnsi="宋体" w:cs="Times New Roman"/>
                <w:kern w:val="0"/>
                <w:lang w:eastAsia="zh-CN"/>
              </w:rPr>
              <w:t>池州市农业科学院（</w:t>
            </w:r>
            <w:r>
              <w:rPr>
                <w:rFonts w:hint="eastAsia" w:ascii="宋体" w:hAnsi="宋体" w:cs="Times New Roman"/>
                <w:kern w:val="0"/>
              </w:rPr>
              <w:t>池州市农业技术推广中心</w:t>
            </w:r>
            <w:r>
              <w:rPr>
                <w:rFonts w:hint="eastAsia" w:hAnsi="宋体" w:cs="Times New Roman"/>
                <w:kern w:val="0"/>
                <w:lang w:eastAsia="zh-CN"/>
              </w:rPr>
              <w:t>）</w:t>
            </w:r>
            <w:r>
              <w:rPr>
                <w:rFonts w:hint="eastAsia" w:ascii="宋体" w:hAnsi="宋体" w:cs="Times New Roman"/>
                <w:kern w:val="0"/>
              </w:rPr>
              <w:t>负责全市的化肥施用定额制试点和推广工作。根据《安徽省化肥施用定额制指导意见（试行）》要求，按照“先行试点、先易后难、稳步推进”的原则，全市试行化肥施用定额制分阶段推进：2020年－2021年为试点阶段，出台了《池州市主要作物化肥施用定额实施意见（试行）》，先后在贵池区、东至县开展试点；2022年－2023年为示范推广阶段，期间对《池州市主要作物化肥施用定额制参考指标（试行）》进行了修订完善，出台了《池州市主要粮食作物和果菜茶化肥用量参考定额限量指标（修订）》，并在全市范围内开展示范推广，年终开展绩效评价，圆满完成政府绩效考核目标任务，为起草本标准制订奠定了数据基础、提供了实践经验。</w:t>
            </w:r>
            <w:r>
              <w:rPr>
                <w:rFonts w:hint="eastAsia" w:ascii="宋体" w:hAnsi="宋体" w:cs="Times New Roman"/>
                <w:kern w:val="0"/>
                <w:lang w:val="en-US" w:eastAsia="zh-CN"/>
              </w:rPr>
              <w:t>2024年5月</w:t>
            </w:r>
            <w:r>
              <w:rPr>
                <w:rFonts w:hint="eastAsia" w:hAnsi="宋体" w:cs="Times New Roman"/>
                <w:kern w:val="0"/>
                <w:lang w:val="en-US" w:eastAsia="zh-CN"/>
              </w:rPr>
              <w:t>，编制</w:t>
            </w:r>
            <w:r>
              <w:rPr>
                <w:rFonts w:hint="eastAsia" w:ascii="宋体" w:hAnsi="宋体" w:cs="Times New Roman"/>
                <w:kern w:val="0"/>
                <w:lang w:val="en-US" w:eastAsia="zh-CN"/>
              </w:rPr>
              <w:t>组根据</w:t>
            </w:r>
            <w:r>
              <w:rPr>
                <w:rFonts w:hint="eastAsia" w:hAnsi="宋体" w:cs="Times New Roman"/>
                <w:kern w:val="0"/>
                <w:lang w:val="en-US" w:eastAsia="zh-CN"/>
              </w:rPr>
              <w:t>田间</w:t>
            </w:r>
            <w:r>
              <w:rPr>
                <w:rFonts w:hint="eastAsia" w:ascii="宋体" w:hAnsi="宋体" w:cs="Times New Roman"/>
                <w:kern w:val="0"/>
                <w:lang w:val="en-US" w:eastAsia="zh-CN"/>
              </w:rPr>
              <w:t>试验、试点、示范的基</w:t>
            </w:r>
            <w:r>
              <w:rPr>
                <w:rFonts w:hint="eastAsia" w:ascii="宋体" w:hAnsi="宋体" w:cs="Times New Roman"/>
                <w:kern w:val="0"/>
              </w:rPr>
              <w:t>础</w:t>
            </w:r>
            <w:r>
              <w:rPr>
                <w:rFonts w:hint="eastAsia" w:ascii="宋体" w:hAnsi="宋体" w:cs="Times New Roman"/>
                <w:kern w:val="0"/>
                <w:lang w:eastAsia="zh-CN"/>
              </w:rPr>
              <w:t>数据，确定了本项目</w:t>
            </w:r>
            <w:r>
              <w:rPr>
                <w:rFonts w:hint="eastAsia" w:hAnsi="宋体"/>
                <w:szCs w:val="21"/>
              </w:rPr>
              <w:t>涉及的</w:t>
            </w:r>
            <w:r>
              <w:rPr>
                <w:rFonts w:hint="eastAsia" w:ascii="Times New Roman" w:cs="宋体"/>
                <w:color w:val="000000"/>
                <w:szCs w:val="21"/>
              </w:rPr>
              <w:t>术语和定义</w:t>
            </w:r>
            <w:r>
              <w:rPr>
                <w:rFonts w:hint="eastAsia" w:ascii="宋体" w:hAnsi="宋体" w:cs="Times New Roman"/>
                <w:kern w:val="0"/>
                <w:lang w:eastAsia="zh-CN"/>
              </w:rPr>
              <w:t>、技术路径、定额施用限量值、肥料运筹等</w:t>
            </w:r>
            <w:r>
              <w:rPr>
                <w:rFonts w:hint="eastAsia" w:hAnsi="宋体" w:cs="Times New Roman"/>
                <w:kern w:val="0"/>
                <w:lang w:eastAsia="zh-CN"/>
              </w:rPr>
              <w:t>，</w:t>
            </w:r>
            <w:r>
              <w:rPr>
                <w:rFonts w:hint="eastAsia" w:ascii="Times New Roman" w:cs="宋体"/>
                <w:color w:val="000000"/>
                <w:szCs w:val="21"/>
              </w:rPr>
              <w:t>申报池州市地方标准并成功获批。</w:t>
            </w:r>
            <w:r>
              <w:rPr>
                <w:rFonts w:hint="eastAsia" w:hAnsi="宋体"/>
                <w:szCs w:val="21"/>
              </w:rPr>
              <w:t>获批后，编制组成员对标准内容与技术参数开展多次讨论与修改，</w:t>
            </w:r>
            <w:r>
              <w:rPr>
                <w:rFonts w:hint="eastAsia" w:hAnsi="宋体"/>
                <w:szCs w:val="21"/>
                <w:lang w:eastAsia="zh-CN"/>
              </w:rPr>
              <w:t>形成</w:t>
            </w:r>
            <w:r>
              <w:rPr>
                <w:rFonts w:hint="eastAsia" w:hAnsi="宋体"/>
                <w:szCs w:val="21"/>
              </w:rPr>
              <w:t>《</w:t>
            </w:r>
            <w:r>
              <w:rPr>
                <w:rFonts w:hint="eastAsia" w:ascii="宋体" w:hAnsi="宋体" w:cs="宋体"/>
                <w:kern w:val="0"/>
              </w:rPr>
              <w:t>主要作物化肥限量施用技术规程</w:t>
            </w:r>
            <w:r>
              <w:rPr>
                <w:rFonts w:hint="eastAsia" w:hAnsi="宋体"/>
                <w:szCs w:val="21"/>
              </w:rPr>
              <w:t>》征求意见稿。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r>
              <w:rPr>
                <w:rFonts w:ascii="宋体" w:hAnsi="宋体" w:cs="宋体"/>
                <w:kern w:val="0"/>
              </w:rPr>
              <w:t>2</w:t>
            </w:r>
            <w:r>
              <w:rPr>
                <w:rFonts w:hint="eastAsia" w:ascii="宋体" w:hAnsi="宋体" w:cs="宋体"/>
                <w:kern w:val="0"/>
              </w:rPr>
              <w:t>、制定标准的必要性和意义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2" w:firstLineChars="200"/>
              <w:rPr>
                <w:rFonts w:cs="Times New Roman" w:asciiTheme="minorEastAsia" w:hAnsiTheme="minorEastAsia" w:eastAsiaTheme="minorEastAsia"/>
                <w:b/>
                <w:bCs/>
                <w:kern w:val="0"/>
              </w:rPr>
            </w:pPr>
            <w:r>
              <w:rPr>
                <w:rFonts w:hint="eastAsia" w:cs="宋体" w:asciiTheme="minorEastAsia" w:hAnsiTheme="minorEastAsia" w:eastAsiaTheme="minorEastAsia"/>
                <w:b/>
                <w:bCs/>
                <w:kern w:val="0"/>
              </w:rPr>
              <w:t>必要性：</w:t>
            </w:r>
          </w:p>
          <w:p>
            <w:pPr>
              <w:spacing w:line="240" w:lineRule="atLeast"/>
              <w:ind w:firstLine="420" w:firstLineChars="200"/>
              <w:rPr>
                <w:rFonts w:hint="eastAsia" w:cs="仿宋_GB2312" w:asciiTheme="minorEastAsia" w:hAnsiTheme="minorEastAsia" w:eastAsiaTheme="minorEastAsia"/>
                <w:color w:val="auto"/>
              </w:rPr>
            </w:pPr>
            <w:r>
              <w:rPr>
                <w:rFonts w:hint="eastAsia" w:cs="仿宋_GB2312" w:asciiTheme="minorEastAsia" w:hAnsiTheme="minorEastAsia" w:eastAsiaTheme="minorEastAsia"/>
                <w:color w:val="auto"/>
                <w:lang w:val="en-US" w:eastAsia="zh-CN"/>
              </w:rPr>
              <w:t>1.</w:t>
            </w:r>
            <w:r>
              <w:rPr>
                <w:rFonts w:hint="eastAsia" w:cs="仿宋_GB2312" w:asciiTheme="minorEastAsia" w:hAnsiTheme="minorEastAsia" w:eastAsiaTheme="minorEastAsia"/>
                <w:color w:val="auto"/>
              </w:rPr>
              <w:t>推进农业高质量发展的迫切需要。化肥是重要的农业生产资料，在促进作物生产中发挥了不可替代的作用，有效保障了国家粮食安全。但在生产实际中，局部地区仍存有过量施用、盲目施用等现象，这与“节本增效、环境友好”施肥理念相背离。</w:t>
            </w:r>
          </w:p>
          <w:p>
            <w:pPr>
              <w:spacing w:line="240" w:lineRule="atLeast"/>
              <w:ind w:firstLine="420" w:firstLineChars="200"/>
              <w:rPr>
                <w:rFonts w:hint="eastAsia" w:cs="仿宋_GB2312" w:asciiTheme="minorEastAsia" w:hAnsiTheme="minorEastAsia" w:eastAsiaTheme="minorEastAsia"/>
                <w:color w:val="auto"/>
              </w:rPr>
            </w:pPr>
            <w:r>
              <w:rPr>
                <w:rFonts w:hint="eastAsia" w:cs="仿宋_GB2312" w:asciiTheme="minorEastAsia" w:hAnsiTheme="minorEastAsia" w:eastAsiaTheme="minorEastAsia"/>
                <w:color w:val="auto"/>
              </w:rPr>
              <w:t>2.防治化肥面源污染的需要。过量施用化肥也是导致水体氮、磷污染</w:t>
            </w:r>
            <w:r>
              <w:rPr>
                <w:rFonts w:hint="eastAsia" w:cs="仿宋_GB2312" w:asciiTheme="minorEastAsia" w:hAnsiTheme="minorEastAsia" w:eastAsiaTheme="minorEastAsia"/>
                <w:color w:val="auto"/>
              </w:rPr>
              <w:t>的重要原因之一。减少</w:t>
            </w:r>
            <w:r>
              <w:rPr>
                <w:rFonts w:hint="eastAsia" w:cs="仿宋_GB2312" w:asciiTheme="minorEastAsia" w:hAnsiTheme="minorEastAsia" w:eastAsiaTheme="minorEastAsia"/>
                <w:color w:val="auto"/>
                <w:lang w:eastAsia="zh-CN"/>
              </w:rPr>
              <w:t>因</w:t>
            </w:r>
            <w:r>
              <w:rPr>
                <w:rFonts w:hint="eastAsia" w:cs="仿宋_GB2312" w:asciiTheme="minorEastAsia" w:hAnsiTheme="minorEastAsia" w:eastAsiaTheme="minorEastAsia"/>
                <w:color w:val="auto"/>
              </w:rPr>
              <w:t>过量施用化肥投入带来的氮、磷污染势在必行，是落实</w:t>
            </w:r>
            <w:r>
              <w:rPr>
                <w:rFonts w:hint="eastAsia" w:cs="仿宋_GB2312" w:asciiTheme="minorEastAsia" w:hAnsiTheme="minorEastAsia" w:eastAsiaTheme="minorEastAsia"/>
                <w:color w:val="auto"/>
                <w:lang w:eastAsia="zh-CN"/>
              </w:rPr>
              <w:t>“水</w:t>
            </w:r>
            <w:r>
              <w:rPr>
                <w:rFonts w:hint="eastAsia" w:cs="仿宋_GB2312" w:asciiTheme="minorEastAsia" w:hAnsiTheme="minorEastAsia" w:eastAsiaTheme="minorEastAsia"/>
                <w:color w:val="auto"/>
                <w:lang w:val="en-US" w:eastAsia="zh-CN"/>
              </w:rPr>
              <w:t>清岸绿美丽长江经济带建设（池州段）</w:t>
            </w:r>
            <w:r>
              <w:rPr>
                <w:rFonts w:hint="eastAsia" w:cs="仿宋_GB2312" w:asciiTheme="minorEastAsia" w:hAnsiTheme="minorEastAsia" w:eastAsiaTheme="minorEastAsia"/>
                <w:color w:val="auto"/>
                <w:lang w:eastAsia="zh-CN"/>
              </w:rPr>
              <w:t>”</w:t>
            </w:r>
            <w:r>
              <w:rPr>
                <w:rFonts w:hint="eastAsia" w:cs="仿宋_GB2312" w:asciiTheme="minorEastAsia" w:hAnsiTheme="minorEastAsia" w:eastAsiaTheme="minorEastAsia"/>
                <w:color w:val="auto"/>
              </w:rPr>
              <w:t>迫切需要。</w:t>
            </w:r>
          </w:p>
          <w:p>
            <w:pPr>
              <w:spacing w:line="240" w:lineRule="atLeast"/>
              <w:ind w:firstLine="420" w:firstLineChars="200"/>
              <w:rPr>
                <w:rFonts w:hint="eastAsia" w:cs="仿宋_GB2312" w:asciiTheme="minorEastAsia" w:hAnsiTheme="minorEastAsia" w:eastAsiaTheme="minorEastAsia"/>
                <w:color w:val="auto"/>
              </w:rPr>
            </w:pPr>
            <w:r>
              <w:rPr>
                <w:rFonts w:hint="eastAsia" w:cs="仿宋_GB2312" w:asciiTheme="minorEastAsia" w:hAnsiTheme="minorEastAsia" w:eastAsiaTheme="minorEastAsia"/>
                <w:color w:val="auto"/>
              </w:rPr>
              <w:t>3.推进化肥施用标准化的需要。目前，农业农村部针对科学施肥制订了水稻、玉米、小麦、油菜等主要作物单质氮肥定额用量等行业标准，但在应用于池州</w:t>
            </w:r>
            <w:r>
              <w:rPr>
                <w:rFonts w:hint="eastAsia" w:cs="仿宋_GB2312" w:asciiTheme="minorEastAsia" w:hAnsiTheme="minorEastAsia" w:eastAsiaTheme="minorEastAsia"/>
                <w:color w:val="auto"/>
                <w:lang w:eastAsia="zh-CN"/>
              </w:rPr>
              <w:t>市</w:t>
            </w:r>
            <w:r>
              <w:rPr>
                <w:rFonts w:hint="eastAsia" w:cs="仿宋_GB2312" w:asciiTheme="minorEastAsia" w:hAnsiTheme="minorEastAsia" w:eastAsiaTheme="minorEastAsia"/>
                <w:color w:val="auto"/>
              </w:rPr>
              <w:t>主要农业作物生产时，</w:t>
            </w:r>
            <w:r>
              <w:rPr>
                <w:rFonts w:hint="eastAsia" w:cs="仿宋_GB2312" w:asciiTheme="minorEastAsia" w:hAnsiTheme="minorEastAsia" w:eastAsiaTheme="minorEastAsia"/>
                <w:color w:val="auto"/>
                <w:lang w:eastAsia="zh-CN"/>
              </w:rPr>
              <w:t>由于区域性差异，</w:t>
            </w:r>
            <w:r>
              <w:rPr>
                <w:rFonts w:hint="eastAsia" w:cs="仿宋_GB2312" w:asciiTheme="minorEastAsia" w:hAnsiTheme="minorEastAsia" w:eastAsiaTheme="minorEastAsia"/>
                <w:color w:val="auto"/>
              </w:rPr>
              <w:t>并不能完全适用。</w:t>
            </w:r>
            <w:r>
              <w:rPr>
                <w:rFonts w:hint="eastAsia" w:cs="仿宋_GB2312" w:asciiTheme="minorEastAsia" w:hAnsiTheme="minorEastAsia" w:eastAsiaTheme="minorEastAsia"/>
                <w:color w:val="auto"/>
                <w:lang w:eastAsia="zh-CN"/>
              </w:rPr>
              <w:t>同时，</w:t>
            </w:r>
            <w:r>
              <w:rPr>
                <w:rFonts w:hint="eastAsia" w:cs="仿宋_GB2312" w:asciiTheme="minorEastAsia" w:hAnsiTheme="minorEastAsia" w:eastAsiaTheme="minorEastAsia"/>
                <w:color w:val="auto"/>
              </w:rPr>
              <w:t>按照现有的一些技术规范，仍难以确保我市主要农作物施肥指导需求，急需制定适合我市的化肥施用技术规范。</w:t>
            </w:r>
          </w:p>
          <w:p>
            <w:pPr>
              <w:spacing w:line="240" w:lineRule="atLeast"/>
              <w:ind w:firstLine="420" w:firstLineChars="200"/>
              <w:rPr>
                <w:rFonts w:hint="eastAsia" w:cs="仿宋_GB2312" w:asciiTheme="minorEastAsia" w:hAnsiTheme="minorEastAsia" w:eastAsiaTheme="minorEastAsia"/>
                <w:color w:val="auto"/>
                <w:lang w:eastAsia="zh-CN"/>
              </w:rPr>
            </w:pPr>
            <w:r>
              <w:rPr>
                <w:rFonts w:hint="eastAsia" w:cs="仿宋_GB2312" w:asciiTheme="minorEastAsia" w:hAnsiTheme="minorEastAsia" w:eastAsiaTheme="minorEastAsia"/>
                <w:color w:val="auto"/>
              </w:rPr>
              <w:t>4.实现长三角一体化发展的需要。习近平总书记指出，长三角区域要加强生态环境共保联治。杭州市在长三角已率先启动化肥限量使用技术规范，</w:t>
            </w:r>
            <w:r>
              <w:rPr>
                <w:rFonts w:hint="eastAsia" w:cs="仿宋_GB2312" w:asciiTheme="minorEastAsia" w:hAnsiTheme="minorEastAsia" w:eastAsiaTheme="minorEastAsia"/>
                <w:color w:val="auto"/>
                <w:lang w:eastAsia="zh-CN"/>
              </w:rPr>
              <w:t>我们也要顺势而为，贡献池州力量。</w:t>
            </w:r>
          </w:p>
          <w:p>
            <w:pPr>
              <w:spacing w:line="240" w:lineRule="atLeast"/>
              <w:ind w:firstLine="422" w:firstLineChars="200"/>
              <w:rPr>
                <w:rFonts w:hint="eastAsia" w:cs="仿宋_GB2312" w:asciiTheme="minorEastAsia" w:hAnsiTheme="minorEastAsia" w:eastAsiaTheme="minorEastAsia"/>
                <w:b/>
                <w:bCs/>
                <w:color w:val="auto"/>
              </w:rPr>
            </w:pPr>
            <w:r>
              <w:rPr>
                <w:rFonts w:hint="eastAsia" w:cs="仿宋_GB2312" w:asciiTheme="minorEastAsia" w:hAnsiTheme="minorEastAsia" w:eastAsiaTheme="minorEastAsia"/>
                <w:b/>
                <w:bCs/>
                <w:color w:val="auto"/>
              </w:rPr>
              <w:t>意义：</w:t>
            </w:r>
          </w:p>
          <w:p>
            <w:pPr>
              <w:spacing w:line="240" w:lineRule="atLeast"/>
              <w:ind w:firstLine="420" w:firstLineChars="200"/>
              <w:rPr>
                <w:rFonts w:hint="eastAsia" w:cs="仿宋_GB2312" w:asciiTheme="minorEastAsia" w:hAnsiTheme="minorEastAsia" w:eastAsiaTheme="minorEastAsia"/>
                <w:color w:val="auto"/>
              </w:rPr>
            </w:pPr>
            <w:r>
              <w:rPr>
                <w:rFonts w:hint="eastAsia" w:cs="仿宋_GB2312" w:asciiTheme="minorEastAsia" w:hAnsiTheme="minorEastAsia" w:eastAsiaTheme="minorEastAsia"/>
                <w:color w:val="auto"/>
                <w:lang w:val="en-US" w:eastAsia="zh-CN"/>
              </w:rPr>
              <w:t>1.</w:t>
            </w:r>
            <w:r>
              <w:rPr>
                <w:rFonts w:hint="eastAsia" w:cs="仿宋_GB2312" w:asciiTheme="minorEastAsia" w:hAnsiTheme="minorEastAsia" w:eastAsiaTheme="minorEastAsia"/>
                <w:color w:val="auto"/>
              </w:rPr>
              <w:t>全面推行化肥施用定额制，引导农民限量施肥，可减少甚至遏制过量施肥等现象，减少不合理的化肥投入，有利于农业节本增效、</w:t>
            </w:r>
            <w:r>
              <w:rPr>
                <w:rFonts w:hint="eastAsia" w:cs="仿宋_GB2312" w:asciiTheme="minorEastAsia" w:hAnsiTheme="minorEastAsia" w:eastAsiaTheme="minorEastAsia"/>
                <w:color w:val="auto"/>
                <w:lang w:eastAsia="zh-CN"/>
              </w:rPr>
              <w:t>增加农民收入</w:t>
            </w:r>
            <w:r>
              <w:rPr>
                <w:rFonts w:hint="eastAsia" w:cs="仿宋_GB2312" w:asciiTheme="minorEastAsia" w:hAnsiTheme="minorEastAsia" w:eastAsiaTheme="minorEastAsia"/>
                <w:color w:val="auto"/>
              </w:rPr>
              <w:t>。</w:t>
            </w:r>
          </w:p>
          <w:p>
            <w:pPr>
              <w:spacing w:line="240" w:lineRule="atLeast"/>
              <w:ind w:firstLine="420" w:firstLineChars="200"/>
              <w:rPr>
                <w:rFonts w:hint="eastAsia" w:cs="仿宋_GB2312" w:asciiTheme="minorEastAsia" w:hAnsiTheme="minorEastAsia" w:eastAsiaTheme="minorEastAsia"/>
                <w:color w:val="auto"/>
              </w:rPr>
            </w:pPr>
            <w:r>
              <w:rPr>
                <w:rFonts w:hint="eastAsia" w:cs="仿宋_GB2312" w:asciiTheme="minorEastAsia" w:hAnsiTheme="minorEastAsia" w:eastAsiaTheme="minorEastAsia"/>
                <w:color w:val="auto"/>
                <w:lang w:val="en-US" w:eastAsia="zh-CN"/>
              </w:rPr>
              <w:t>2.</w:t>
            </w:r>
            <w:r>
              <w:rPr>
                <w:rFonts w:hint="eastAsia" w:cs="仿宋_GB2312" w:asciiTheme="minorEastAsia" w:hAnsiTheme="minorEastAsia" w:eastAsiaTheme="minorEastAsia"/>
                <w:color w:val="auto"/>
              </w:rPr>
              <w:t>实行化肥定额制，即通过制定主要作物化肥投入最高限量标准，综合采取免费测土、科学配方、合理替代、精准施肥等措施，可在确保作物产量的前提下，最大限度地减少化肥的不合理施用，减少</w:t>
            </w:r>
            <w:r>
              <w:rPr>
                <w:rFonts w:hint="eastAsia" w:cs="仿宋_GB2312" w:asciiTheme="minorEastAsia" w:hAnsiTheme="minorEastAsia" w:eastAsiaTheme="minorEastAsia"/>
                <w:color w:val="auto"/>
                <w:lang w:eastAsia="zh-CN"/>
              </w:rPr>
              <w:t>化肥</w:t>
            </w:r>
            <w:r>
              <w:rPr>
                <w:rFonts w:hint="eastAsia" w:cs="仿宋_GB2312" w:asciiTheme="minorEastAsia" w:hAnsiTheme="minorEastAsia" w:eastAsiaTheme="minorEastAsia"/>
                <w:color w:val="auto"/>
              </w:rPr>
              <w:t>农业面源污染，助力乡村振兴。</w:t>
            </w:r>
          </w:p>
          <w:p>
            <w:pPr>
              <w:spacing w:line="240" w:lineRule="atLeast"/>
              <w:ind w:firstLine="420" w:firstLineChars="200"/>
              <w:rPr>
                <w:rFonts w:cs="Times New Roman" w:asciiTheme="minorEastAsia" w:hAnsiTheme="minorEastAsia" w:eastAsiaTheme="minorEastAsia"/>
                <w:kern w:val="0"/>
              </w:rPr>
            </w:pPr>
            <w:r>
              <w:rPr>
                <w:rFonts w:hint="eastAsia" w:cs="仿宋_GB2312" w:asciiTheme="minorEastAsia" w:hAnsiTheme="minorEastAsia" w:eastAsiaTheme="minorEastAsia"/>
                <w:color w:val="auto"/>
                <w:lang w:val="en-US" w:eastAsia="zh-CN"/>
              </w:rPr>
              <w:t>3.</w:t>
            </w:r>
            <w:r>
              <w:rPr>
                <w:rFonts w:hint="eastAsia" w:cs="仿宋_GB2312" w:asciiTheme="minorEastAsia" w:hAnsiTheme="minorEastAsia" w:eastAsiaTheme="minorEastAsia"/>
                <w:color w:val="auto"/>
                <w:lang w:eastAsia="zh-CN"/>
              </w:rPr>
              <w:t>有利于提升化肥施用标准化水平，推进农业绿色</w:t>
            </w:r>
            <w:r>
              <w:rPr>
                <w:rFonts w:hint="eastAsia" w:cs="仿宋_GB2312" w:asciiTheme="minorEastAsia" w:hAnsiTheme="minorEastAsia" w:eastAsiaTheme="minorEastAsia"/>
                <w:color w:val="auto"/>
              </w:rPr>
              <w:t>发展和高质量发展，保障粮食安全和生态安全。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r>
              <w:rPr>
                <w:rFonts w:ascii="宋体" w:hAnsi="宋体" w:cs="宋体"/>
                <w:kern w:val="0"/>
              </w:rPr>
              <w:t>3</w:t>
            </w:r>
            <w:r>
              <w:rPr>
                <w:rFonts w:hint="eastAsia" w:ascii="宋体" w:hAnsi="宋体" w:cs="宋体"/>
                <w:kern w:val="0"/>
              </w:rPr>
              <w:t>、制定标准的原则和依据，与现行法律法规、标准的关系。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9571" w:type="dxa"/>
            <w:gridSpan w:val="6"/>
            <w:vAlign w:val="center"/>
          </w:tcPr>
          <w:p>
            <w:pPr>
              <w:spacing w:line="240" w:lineRule="atLeast"/>
              <w:ind w:firstLine="420" w:firstLineChars="200"/>
              <w:rPr>
                <w:rFonts w:cs="仿宋_GB2312" w:asciiTheme="minorEastAsia" w:hAnsiTheme="minorEastAsia" w:eastAsiaTheme="minorEastAsia"/>
              </w:rPr>
            </w:pPr>
            <w:r>
              <w:rPr>
                <w:rFonts w:hint="eastAsia" w:cs="仿宋_GB2312" w:asciiTheme="minorEastAsia" w:hAnsiTheme="minorEastAsia" w:eastAsiaTheme="minorEastAsia"/>
                <w:lang w:eastAsia="zh-CN"/>
              </w:rPr>
              <w:t>（一）</w:t>
            </w:r>
            <w:r>
              <w:rPr>
                <w:rFonts w:hint="eastAsia" w:cs="仿宋_GB2312" w:asciiTheme="minorEastAsia" w:hAnsiTheme="minorEastAsia" w:eastAsiaTheme="minorEastAsia"/>
              </w:rPr>
              <w:t>参考依据</w:t>
            </w:r>
          </w:p>
          <w:p>
            <w:pPr>
              <w:spacing w:line="240" w:lineRule="atLeast"/>
              <w:ind w:firstLine="420" w:firstLineChars="200"/>
              <w:rPr>
                <w:rFonts w:cs="仿宋_GB2312" w:asciiTheme="minorEastAsia" w:hAnsiTheme="minorEastAsia" w:eastAsiaTheme="minorEastAsia"/>
              </w:rPr>
            </w:pPr>
            <w:r>
              <w:rPr>
                <w:rFonts w:hint="eastAsia" w:cs="仿宋_GB2312" w:asciiTheme="minorEastAsia" w:hAnsiTheme="minorEastAsia" w:eastAsiaTheme="minorEastAsia"/>
              </w:rPr>
              <w:t>本</w:t>
            </w:r>
            <w:r>
              <w:rPr>
                <w:rFonts w:hint="eastAsia" w:cs="仿宋_GB2312" w:asciiTheme="minorEastAsia" w:hAnsiTheme="minorEastAsia" w:eastAsiaTheme="minorEastAsia"/>
                <w:lang w:eastAsia="zh-CN"/>
              </w:rPr>
              <w:t>文件</w:t>
            </w:r>
            <w:r>
              <w:rPr>
                <w:rFonts w:hint="eastAsia" w:cs="仿宋_GB2312" w:asciiTheme="minorEastAsia" w:hAnsiTheme="minorEastAsia" w:eastAsiaTheme="minorEastAsia"/>
              </w:rPr>
              <w:t>为推荐性标准。</w:t>
            </w:r>
            <w:r>
              <w:rPr>
                <w:rFonts w:hint="eastAsia" w:hAnsi="宋体" w:eastAsiaTheme="minorEastAsia"/>
                <w:lang w:eastAsia="zh-CN"/>
              </w:rPr>
              <w:t>文件</w:t>
            </w:r>
            <w:r>
              <w:rPr>
                <w:rFonts w:hint="eastAsia" w:hAnsi="宋体"/>
              </w:rPr>
              <w:t>编制遵循“先进性、实用性、统一性、规范性”的原则，注重标准的可操作性，与现行的法律法规、标准没有冲突。</w:t>
            </w:r>
            <w:r>
              <w:rPr>
                <w:rFonts w:hint="eastAsia" w:cs="仿宋_GB2312" w:asciiTheme="minorEastAsia" w:hAnsiTheme="minorEastAsia" w:eastAsiaTheme="minorEastAsia"/>
              </w:rPr>
              <w:t>主要根据国内相关标准、我市种植业化肥减量生产实践以及已有研究论文、科研成果等确定。主要参考依据标准：</w:t>
            </w:r>
          </w:p>
          <w:p>
            <w:pPr>
              <w:pStyle w:val="10"/>
              <w:ind w:firstLine="420"/>
            </w:pPr>
            <w:r>
              <w:rPr>
                <w:rFonts w:hint="eastAsia"/>
              </w:rPr>
              <w:t>GB/T</w:t>
            </w:r>
            <w:r>
              <w:t xml:space="preserve"> </w:t>
            </w:r>
            <w:r>
              <w:rPr>
                <w:rFonts w:hint="eastAsia"/>
              </w:rPr>
              <w:t>33469 耕地质量等级</w:t>
            </w:r>
          </w:p>
          <w:p>
            <w:pPr>
              <w:pStyle w:val="10"/>
              <w:ind w:firstLine="420"/>
            </w:pPr>
            <w:r>
              <w:rPr>
                <w:rFonts w:hint="eastAsia"/>
              </w:rPr>
              <w:t>NY/T 3696 设施蔬菜水肥一体化技术规范</w:t>
            </w:r>
          </w:p>
          <w:p>
            <w:pPr>
              <w:spacing w:line="240" w:lineRule="atLeast"/>
              <w:ind w:firstLine="420" w:firstLineChars="200"/>
              <w:rPr>
                <w:rFonts w:cs="仿宋_GB2312" w:asciiTheme="minorEastAsia" w:hAnsiTheme="minorEastAsia" w:eastAsiaTheme="minorEastAsia"/>
              </w:rPr>
            </w:pPr>
            <w:r>
              <w:rPr>
                <w:rFonts w:hint="eastAsia" w:cs="仿宋_GB2312" w:asciiTheme="minorEastAsia" w:hAnsiTheme="minorEastAsia" w:eastAsiaTheme="minorEastAsia"/>
                <w:lang w:eastAsia="zh-CN"/>
              </w:rPr>
              <w:t>（二）</w:t>
            </w:r>
            <w:r>
              <w:rPr>
                <w:rFonts w:hint="eastAsia" w:cs="仿宋_GB2312" w:asciiTheme="minorEastAsia" w:hAnsiTheme="minorEastAsia" w:eastAsiaTheme="minorEastAsia"/>
              </w:rPr>
              <w:t>标准主要内容确定的依据</w:t>
            </w:r>
          </w:p>
          <w:p>
            <w:pPr>
              <w:spacing w:line="240" w:lineRule="atLeast"/>
              <w:ind w:firstLine="420" w:firstLineChars="200"/>
              <w:rPr>
                <w:rFonts w:hint="eastAsia" w:cs="仿宋_GB2312" w:asciiTheme="minorEastAsia" w:hAnsiTheme="minorEastAsia" w:eastAsiaTheme="minorEastAsia"/>
                <w:color w:val="auto"/>
              </w:rPr>
            </w:pPr>
            <w:r>
              <w:rPr>
                <w:rFonts w:hint="eastAsia" w:cs="仿宋_GB2312" w:asciiTheme="minorEastAsia" w:hAnsiTheme="minorEastAsia" w:eastAsiaTheme="minorEastAsia"/>
                <w:color w:val="auto"/>
              </w:rPr>
              <w:t>（1）肥料限量标准</w:t>
            </w:r>
          </w:p>
          <w:p>
            <w:pPr>
              <w:spacing w:line="240" w:lineRule="atLeast"/>
              <w:ind w:firstLine="420" w:firstLineChars="200"/>
              <w:rPr>
                <w:rFonts w:hint="eastAsia" w:cs="仿宋_GB2312" w:asciiTheme="minorEastAsia" w:hAnsiTheme="minorEastAsia" w:eastAsiaTheme="minorEastAsia"/>
                <w:color w:val="auto"/>
              </w:rPr>
            </w:pPr>
            <w:r>
              <w:rPr>
                <w:rFonts w:hint="eastAsia" w:cs="仿宋_GB2312" w:asciiTheme="minorEastAsia" w:hAnsiTheme="minorEastAsia" w:eastAsiaTheme="minorEastAsia"/>
                <w:color w:val="auto"/>
              </w:rPr>
              <w:t>参照安徽农业农村厅印发的《安徽省化肥施用定额制指导意见（试行）》（皖农土〔2020〕117号），《安徽省农业农村厅关于印发全省主要粮食作物和果菜茶化肥用量参考定额限</w:t>
            </w:r>
            <w:r>
              <w:rPr>
                <w:rFonts w:hint="eastAsia" w:cs="仿宋_GB2312" w:asciiTheme="minorEastAsia" w:hAnsiTheme="minorEastAsia" w:eastAsiaTheme="minorEastAsia"/>
                <w:color w:val="auto"/>
              </w:rPr>
              <w:t>量指标（修订）的通知》（皖农土函〔2023〕783号）等文件中主要农作物化肥定额制施用标准，结合我市土壤本底条件及目标产量，根据不同农作物养分吸收、积累规律及养分利用率，确定我市主要作物的氮、磷、钾施用限量值。</w:t>
            </w:r>
          </w:p>
          <w:p>
            <w:pPr>
              <w:spacing w:line="240" w:lineRule="atLeast"/>
              <w:ind w:firstLine="420" w:firstLineChars="200"/>
              <w:rPr>
                <w:rFonts w:hint="eastAsia" w:cs="仿宋_GB2312" w:asciiTheme="minorEastAsia" w:hAnsiTheme="minorEastAsia" w:eastAsiaTheme="minorEastAsia"/>
                <w:color w:val="auto"/>
              </w:rPr>
            </w:pPr>
            <w:r>
              <w:rPr>
                <w:rFonts w:hint="eastAsia" w:cs="仿宋_GB2312" w:asciiTheme="minorEastAsia" w:hAnsiTheme="minorEastAsia" w:eastAsiaTheme="minorEastAsia"/>
                <w:color w:val="auto"/>
              </w:rPr>
              <w:t>（2）施肥运筹管理</w:t>
            </w:r>
          </w:p>
          <w:p>
            <w:pPr>
              <w:spacing w:line="240" w:lineRule="atLeast"/>
              <w:ind w:firstLine="420" w:firstLineChars="200"/>
              <w:rPr>
                <w:rFonts w:hint="eastAsia" w:cs="Times New Roman" w:asciiTheme="minorEastAsia" w:hAnsiTheme="minorEastAsia" w:eastAsiaTheme="minorEastAsia"/>
                <w:kern w:val="0"/>
                <w:lang w:eastAsia="zh-CN"/>
              </w:rPr>
            </w:pPr>
            <w:r>
              <w:rPr>
                <w:rFonts w:hint="eastAsia" w:cs="仿宋_GB2312" w:asciiTheme="minorEastAsia" w:hAnsiTheme="minorEastAsia" w:eastAsiaTheme="minorEastAsia"/>
                <w:color w:val="auto"/>
              </w:rPr>
              <w:t>施肥时间及方法依据《2023年池州市主要农作物科学施肥指导意见》</w:t>
            </w:r>
            <w:r>
              <w:rPr>
                <w:rFonts w:hint="eastAsia" w:cs="仿宋_GB2312" w:asciiTheme="minorEastAsia" w:hAnsiTheme="minorEastAsia" w:eastAsiaTheme="minorEastAsia"/>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r>
              <w:rPr>
                <w:rFonts w:ascii="宋体" w:hAnsi="宋体" w:cs="宋体"/>
                <w:kern w:val="0"/>
              </w:rPr>
              <w:t>4</w:t>
            </w:r>
            <w:r>
              <w:rPr>
                <w:rFonts w:hint="eastAsia" w:ascii="宋体" w:hAnsi="宋体" w:cs="宋体"/>
                <w:kern w:val="0"/>
              </w:rPr>
              <w:t>、主要条款的说明，主要技术指标、参数、试验验证的论述（</w:t>
            </w:r>
            <w:r>
              <w:rPr>
                <w:rFonts w:hint="eastAsia" w:ascii="宋体" w:hAnsi="宋体" w:cs="宋体"/>
                <w:b/>
                <w:bCs/>
                <w:kern w:val="0"/>
              </w:rPr>
              <w:t>详细说明</w:t>
            </w:r>
            <w:r>
              <w:rPr>
                <w:rFonts w:hint="eastAsia" w:ascii="宋体" w:hAnsi="宋体" w:cs="宋体"/>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2" w:firstLineChars="200"/>
              <w:rPr>
                <w:rFonts w:ascii="宋体" w:cs="Times New Roman"/>
                <w:b/>
                <w:bCs/>
                <w:kern w:val="0"/>
              </w:rPr>
            </w:pPr>
            <w:r>
              <w:rPr>
                <w:rFonts w:hint="eastAsia" w:ascii="宋体" w:hAnsi="宋体" w:cs="宋体"/>
                <w:b/>
                <w:bCs/>
                <w:kern w:val="0"/>
              </w:rPr>
              <w:t>主要条款</w:t>
            </w:r>
            <w:r>
              <w:rPr>
                <w:rFonts w:hint="eastAsia" w:ascii="宋体" w:hAnsi="宋体" w:cs="宋体"/>
                <w:b/>
                <w:bCs/>
                <w:kern w:val="0"/>
                <w:lang w:eastAsia="zh-CN"/>
              </w:rPr>
              <w:t>的说明</w:t>
            </w:r>
            <w:r>
              <w:rPr>
                <w:rFonts w:hint="eastAsia" w:ascii="宋体" w:hAnsi="宋体" w:cs="宋体"/>
                <w:b/>
                <w:bCs/>
                <w:kern w:val="0"/>
              </w:rPr>
              <w:t>：</w:t>
            </w:r>
          </w:p>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spacing w:line="240" w:lineRule="auto"/>
              <w:ind w:firstLine="420" w:firstLineChars="200"/>
              <w:textAlignment w:val="auto"/>
              <w:rPr>
                <w:rFonts w:ascii="宋体" w:cs="Times New Roman"/>
                <w:kern w:val="0"/>
              </w:rPr>
            </w:pPr>
            <w:r>
              <w:rPr>
                <w:rFonts w:hint="eastAsia" w:ascii="宋体" w:hAnsi="宋体" w:cs="宋体"/>
                <w:kern w:val="0"/>
              </w:rPr>
              <w:t>本</w:t>
            </w:r>
            <w:r>
              <w:rPr>
                <w:rFonts w:hint="eastAsia" w:ascii="宋体" w:hAnsi="宋体" w:cs="宋体"/>
                <w:kern w:val="0"/>
                <w:lang w:eastAsia="zh-CN"/>
              </w:rPr>
              <w:t>文件规定了</w:t>
            </w:r>
            <w:r>
              <w:rPr>
                <w:rFonts w:hint="eastAsia" w:ascii="宋体" w:hAnsi="宋体" w:cs="宋体"/>
                <w:kern w:val="0"/>
              </w:rPr>
              <w:t>范围、规范性引用文件、术语和定义、</w:t>
            </w:r>
            <w:r>
              <w:rPr>
                <w:rFonts w:hint="eastAsia" w:ascii="宋体" w:hAnsi="宋体" w:cs="宋体"/>
                <w:kern w:val="0"/>
                <w:lang w:eastAsia="zh-CN"/>
              </w:rPr>
              <w:t>施肥原则</w:t>
            </w:r>
            <w:r>
              <w:rPr>
                <w:rFonts w:hint="eastAsia" w:ascii="宋体" w:hAnsi="宋体" w:cs="宋体"/>
                <w:kern w:val="0"/>
              </w:rPr>
              <w:t>、</w:t>
            </w:r>
            <w:r>
              <w:rPr>
                <w:rFonts w:hint="eastAsia" w:ascii="宋体" w:hAnsi="宋体" w:cs="宋体"/>
                <w:kern w:val="0"/>
                <w:lang w:eastAsia="zh-CN"/>
              </w:rPr>
              <w:t>耕地质量等级划分、定额施用限量值、肥料运筹</w:t>
            </w:r>
            <w:r>
              <w:rPr>
                <w:rFonts w:hint="eastAsia" w:ascii="宋体" w:hAnsi="宋体" w:cs="宋体"/>
                <w:kern w:val="0"/>
              </w:rPr>
              <w:t>。</w:t>
            </w:r>
          </w:p>
          <w:p>
            <w:pPr>
              <w:keepNext w:val="0"/>
              <w:keepLines w:val="0"/>
              <w:pageBreakBefore w:val="0"/>
              <w:kinsoku/>
              <w:wordWrap/>
              <w:overflowPunct/>
              <w:topLinePunct w:val="0"/>
              <w:autoSpaceDE/>
              <w:autoSpaceDN/>
              <w:bidi w:val="0"/>
              <w:adjustRightInd/>
              <w:snapToGrid/>
              <w:spacing w:line="240" w:lineRule="auto"/>
              <w:ind w:firstLine="420" w:firstLineChars="200"/>
              <w:jc w:val="both"/>
              <w:textAlignment w:val="auto"/>
              <w:rPr>
                <w:rFonts w:hint="eastAsia" w:ascii="宋体" w:hAnsi="宋体" w:cs="宋体"/>
                <w:kern w:val="0"/>
                <w:sz w:val="20"/>
                <w:szCs w:val="20"/>
                <w:lang w:eastAsia="zh-CN"/>
              </w:rPr>
            </w:pPr>
            <w:r>
              <w:rPr>
                <w:rFonts w:hint="eastAsia" w:ascii="宋体" w:hAnsi="宋体" w:eastAsia="宋体" w:cs="宋体"/>
                <w:color w:val="auto"/>
                <w:kern w:val="0"/>
                <w:lang w:val="en-US" w:eastAsia="zh-CN"/>
              </w:rPr>
              <w:t>1.</w:t>
            </w:r>
            <w:r>
              <w:rPr>
                <w:rFonts w:hint="eastAsia" w:ascii="Times New Roman"/>
              </w:rPr>
              <w:t>规定了</w:t>
            </w:r>
            <w:r>
              <w:rPr>
                <w:rFonts w:hint="eastAsia" w:ascii="Times New Roman"/>
                <w:lang w:eastAsia="zh-CN"/>
              </w:rPr>
              <w:t>施肥原则。</w:t>
            </w:r>
            <w:r>
              <w:rPr>
                <w:rFonts w:hint="eastAsia" w:ascii="宋体" w:hAnsi="宋体" w:cs="宋体"/>
                <w:kern w:val="0"/>
                <w:lang w:eastAsia="zh-CN"/>
              </w:rPr>
              <w:t>主要是通过“测、替、改、调”，减少化肥投入。</w:t>
            </w:r>
          </w:p>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spacing w:line="240" w:lineRule="auto"/>
              <w:ind w:firstLine="420" w:firstLineChars="200"/>
              <w:textAlignment w:val="auto"/>
              <w:rPr>
                <w:rFonts w:hint="default" w:ascii="宋体" w:hAnsi="宋体" w:cs="宋体"/>
                <w:color w:val="auto"/>
                <w:kern w:val="0"/>
                <w:lang w:val="en-US" w:eastAsia="zh-CN"/>
              </w:rPr>
            </w:pPr>
            <w:r>
              <w:rPr>
                <w:rFonts w:hint="eastAsia" w:ascii="宋体" w:hAnsi="宋体" w:cs="宋体"/>
                <w:color w:val="auto"/>
                <w:kern w:val="0"/>
                <w:lang w:val="en-US" w:eastAsia="zh-CN"/>
              </w:rPr>
              <w:t>2.</w:t>
            </w:r>
            <w:r>
              <w:rPr>
                <w:rFonts w:hint="eastAsia" w:ascii="宋体" w:hAnsi="宋体" w:cs="宋体"/>
                <w:color w:val="auto"/>
                <w:kern w:val="0"/>
                <w:lang w:eastAsia="zh-CN"/>
              </w:rPr>
              <w:t>规定了定额施用限量值。“</w:t>
            </w:r>
            <w:r>
              <w:rPr>
                <w:rFonts w:hint="eastAsia" w:ascii="宋体" w:hAnsi="宋体" w:cs="宋体"/>
                <w:color w:val="auto"/>
                <w:kern w:val="0"/>
                <w:lang w:eastAsia="zh-CN"/>
              </w:rPr>
              <w:t>每增加100公斤产量所增加化肥施用限量</w:t>
            </w:r>
            <w:r>
              <w:rPr>
                <w:rFonts w:hint="eastAsia" w:ascii="宋体" w:hAnsi="宋体" w:cs="宋体"/>
                <w:color w:val="auto"/>
                <w:kern w:val="0"/>
                <w:lang w:eastAsia="zh-CN"/>
              </w:rPr>
              <w:t>”：作物化肥施用限量随着作物目标产量或实收单产的增加而增加，如早稻的目标产量为400公斤/亩时，化肥定额施用限量（折纯量）22公斤/亩；当目标产量为500公斤时，化肥定额施用限量（折纯量）25.2公斤/亩，即在规程设定的目标产量基础上，每增加100公斤产量则化肥施用限量（折纯量）可增加3.2公斤/亩；或早稻实收亩产500公斤时，化肥施用量（折纯量）≤25.2公斤/亩都是合理的。</w:t>
            </w:r>
          </w:p>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spacing w:line="240" w:lineRule="auto"/>
              <w:ind w:firstLine="420" w:firstLineChars="200"/>
              <w:textAlignment w:val="auto"/>
              <w:rPr>
                <w:rFonts w:hint="eastAsia" w:ascii="宋体" w:hAnsi="宋体" w:cs="宋体"/>
                <w:kern w:val="0"/>
                <w:lang w:eastAsia="zh-CN"/>
              </w:rPr>
            </w:pPr>
            <w:r>
              <w:rPr>
                <w:rFonts w:hint="eastAsia" w:ascii="宋体" w:hAnsi="宋体" w:cs="宋体"/>
                <w:color w:val="auto"/>
                <w:kern w:val="0"/>
                <w:lang w:val="en-US" w:eastAsia="zh-CN"/>
              </w:rPr>
              <w:t>3.</w:t>
            </w:r>
            <w:r>
              <w:rPr>
                <w:rFonts w:hint="eastAsia" w:ascii="宋体" w:hAnsi="宋体" w:cs="宋体"/>
                <w:color w:val="auto"/>
                <w:kern w:val="0"/>
                <w:lang w:eastAsia="zh-CN"/>
              </w:rPr>
              <w:t>规定了肥料运筹方法。每种作物对养分吸收都存在养分吸收临界期和最大效率期。肥料运筹就是根据作物养分吸收规律，把握两个养分吸收</w:t>
            </w:r>
            <w:r>
              <w:rPr>
                <w:rFonts w:hint="eastAsia" w:cs="仿宋_GB2312" w:asciiTheme="minorEastAsia" w:hAnsiTheme="minorEastAsia" w:eastAsiaTheme="minorEastAsia"/>
                <w:color w:val="auto"/>
                <w:lang w:eastAsia="zh-CN"/>
              </w:rPr>
              <w:t>高峰期适时施肥，</w:t>
            </w:r>
            <w:r>
              <w:rPr>
                <w:rFonts w:hint="eastAsia" w:ascii="宋体" w:hAnsi="宋体" w:cs="宋体"/>
                <w:color w:val="auto"/>
                <w:kern w:val="0"/>
                <w:lang w:eastAsia="zh-CN"/>
              </w:rPr>
              <w:t>结合有机肥替代，可显著提高化肥利用率，节省化肥用量。如大田水稻养分吸收分蘖期、幼穗分化期，那么在肥料运筹时，增施蘖肥、穗肥，不仅可搞高化肥利用率满足化肥施用限量要求，而且有助于构建高产群体，促进水稻生产绿色高效。</w:t>
            </w:r>
          </w:p>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spacing w:line="240" w:lineRule="auto"/>
              <w:ind w:firstLine="422" w:firstLineChars="200"/>
              <w:textAlignment w:val="auto"/>
              <w:rPr>
                <w:rFonts w:ascii="宋体" w:cs="Times New Roman"/>
                <w:b/>
                <w:bCs/>
                <w:kern w:val="0"/>
              </w:rPr>
            </w:pPr>
            <w:r>
              <w:rPr>
                <w:rFonts w:hint="eastAsia" w:ascii="宋体" w:hAnsi="宋体" w:cs="宋体"/>
                <w:b/>
                <w:bCs/>
                <w:kern w:val="0"/>
              </w:rPr>
              <w:t>试验验证的论述：</w:t>
            </w:r>
          </w:p>
          <w:p>
            <w:pPr>
              <w:keepNext w:val="0"/>
              <w:keepLines w:val="0"/>
              <w:pageBreakBefore w:val="0"/>
              <w:kinsoku/>
              <w:wordWrap/>
              <w:overflowPunct/>
              <w:topLinePunct w:val="0"/>
              <w:bidi w:val="0"/>
              <w:snapToGrid/>
              <w:spacing w:line="240" w:lineRule="auto"/>
              <w:ind w:firstLine="371" w:firstLineChars="177"/>
              <w:textAlignment w:val="auto"/>
              <w:rPr>
                <w:rFonts w:ascii="宋体" w:cs="Times New Roman"/>
                <w:kern w:val="0"/>
              </w:rPr>
            </w:pPr>
            <w:r>
              <w:rPr>
                <w:rFonts w:hint="eastAsia" w:hAnsi="宋体"/>
              </w:rPr>
              <w:t>项目组成员根据所承担项目的大量试验数据、发表的科研论文和取得的科研成果，结合</w:t>
            </w:r>
            <w:r>
              <w:rPr>
                <w:rFonts w:hint="eastAsia" w:hAnsi="宋体"/>
                <w:lang w:eastAsia="zh-CN"/>
              </w:rPr>
              <w:t>池州市农业科学院（</w:t>
            </w:r>
            <w:r>
              <w:rPr>
                <w:rFonts w:hint="eastAsia" w:hAnsi="宋体"/>
              </w:rPr>
              <w:t>池州市农业技术推广中心</w:t>
            </w:r>
            <w:r>
              <w:rPr>
                <w:rFonts w:hint="eastAsia" w:hAnsi="宋体"/>
                <w:lang w:eastAsia="zh-CN"/>
              </w:rPr>
              <w:t>）</w:t>
            </w:r>
            <w:r>
              <w:rPr>
                <w:rFonts w:hint="eastAsia" w:hAnsi="宋体"/>
              </w:rPr>
              <w:t>、东至县</w:t>
            </w:r>
            <w:r>
              <w:rPr>
                <w:rFonts w:hint="eastAsia"/>
              </w:rPr>
              <w:t>农业农村综合技术服务中心</w:t>
            </w:r>
            <w:r>
              <w:rPr>
                <w:rFonts w:hint="eastAsia" w:hAnsi="宋体"/>
              </w:rPr>
              <w:t>等基层技术人员多年的生产经验，通过测土配方施肥技术、新型肥料应用、有机肥替代等</w:t>
            </w:r>
            <w:r>
              <w:rPr>
                <w:rFonts w:hint="eastAsia" w:hAnsi="宋体"/>
                <w:lang w:eastAsia="zh-CN"/>
              </w:rPr>
              <w:t>技术</w:t>
            </w:r>
            <w:r>
              <w:rPr>
                <w:rFonts w:hint="eastAsia" w:hAnsi="宋体"/>
              </w:rPr>
              <w:t>措施</w:t>
            </w:r>
            <w:r>
              <w:rPr>
                <w:rFonts w:hint="eastAsia" w:hAnsi="宋体"/>
                <w:lang w:eastAsia="zh-CN"/>
              </w:rPr>
              <w:t>及农户施肥调查，</w:t>
            </w:r>
            <w:r>
              <w:rPr>
                <w:rFonts w:hint="eastAsia" w:hAnsi="宋体"/>
              </w:rPr>
              <w:t>为本标准的适用性、科学性提供了生产应用验证。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bookmarkStart w:id="0" w:name="_Toc464902852"/>
            <w:bookmarkStart w:id="1" w:name="_Toc465074266"/>
            <w:bookmarkStart w:id="2" w:name="_Toc464905613"/>
            <w:bookmarkStart w:id="3" w:name="_Toc464905557"/>
            <w:bookmarkStart w:id="4" w:name="_Toc464905809"/>
            <w:r>
              <w:rPr>
                <w:rFonts w:ascii="宋体" w:hAnsi="宋体" w:cs="宋体"/>
                <w:kern w:val="0"/>
              </w:rPr>
              <w:t>5</w:t>
            </w:r>
            <w:r>
              <w:rPr>
                <w:rFonts w:hint="eastAsia" w:ascii="宋体" w:hAnsi="宋体" w:cs="宋体"/>
                <w:kern w:val="0"/>
              </w:rPr>
              <w:t>、标准中如果涉及专利，应有明确的知识产权说明</w:t>
            </w:r>
            <w:bookmarkEnd w:id="0"/>
            <w:bookmarkEnd w:id="1"/>
            <w:bookmarkEnd w:id="2"/>
            <w:bookmarkEnd w:id="3"/>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r>
              <w:rPr>
                <w:rFonts w:hint="eastAsia" w:ascii="宋体" w:hAnsi="宋体" w:cs="宋体"/>
                <w:kern w:val="0"/>
              </w:rPr>
              <w:t>本标准未涉及任何专利。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bookmarkStart w:id="5" w:name="_Toc465074267"/>
            <w:bookmarkStart w:id="6" w:name="_Toc464905810"/>
            <w:bookmarkStart w:id="7" w:name="_Toc464905614"/>
            <w:bookmarkStart w:id="8" w:name="_Toc464905558"/>
            <w:bookmarkStart w:id="9" w:name="_Toc464902853"/>
            <w:r>
              <w:rPr>
                <w:rFonts w:ascii="宋体" w:hAnsi="宋体" w:cs="宋体"/>
                <w:kern w:val="0"/>
              </w:rPr>
              <w:t>6</w:t>
            </w:r>
            <w:r>
              <w:rPr>
                <w:rFonts w:hint="eastAsia" w:ascii="宋体" w:hAnsi="宋体" w:cs="宋体"/>
                <w:kern w:val="0"/>
              </w:rPr>
              <w:t>、采用国际标准或国外先进标准的，说明采标程度，以及国内外同类标准水平的对比情况</w:t>
            </w:r>
            <w:bookmarkEnd w:id="5"/>
            <w:bookmarkEnd w:id="6"/>
            <w:bookmarkEnd w:id="7"/>
            <w:bookmarkEnd w:id="8"/>
            <w:bookmark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hint="eastAsia" w:ascii="宋体" w:eastAsia="宋体" w:cs="Times New Roman"/>
                <w:kern w:val="0"/>
                <w:lang w:eastAsia="zh-CN"/>
              </w:rPr>
            </w:pPr>
            <w:r>
              <w:rPr>
                <w:rFonts w:hint="eastAsia" w:ascii="宋体" w:hAnsi="宋体" w:eastAsia="宋体" w:cs="宋体"/>
                <w:kern w:val="0"/>
              </w:rPr>
              <w:t>省内</w:t>
            </w:r>
            <w:r>
              <w:rPr>
                <w:rFonts w:hint="eastAsia" w:ascii="宋体" w:hAnsi="宋体" w:eastAsia="宋体" w:cs="宋体"/>
                <w:kern w:val="0"/>
                <w:lang w:eastAsia="zh-CN"/>
              </w:rPr>
              <w:t>无类似</w:t>
            </w:r>
            <w:r>
              <w:rPr>
                <w:rFonts w:hint="eastAsia" w:ascii="宋体" w:hAnsi="宋体" w:eastAsia="宋体" w:cs="宋体"/>
                <w:kern w:val="0"/>
              </w:rPr>
              <w:t>标准发布，因此本标准的制定，具有一定的开创性。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bookmarkStart w:id="10" w:name="_Toc464902854"/>
            <w:bookmarkStart w:id="11" w:name="_Toc464905811"/>
            <w:bookmarkStart w:id="12" w:name="_Toc464905615"/>
            <w:bookmarkStart w:id="13" w:name="_Toc465074268"/>
            <w:bookmarkStart w:id="14" w:name="_Toc464905559"/>
            <w:r>
              <w:rPr>
                <w:rFonts w:ascii="宋体" w:hAnsi="宋体" w:cs="宋体"/>
                <w:kern w:val="0"/>
              </w:rPr>
              <w:t>7</w:t>
            </w:r>
            <w:r>
              <w:rPr>
                <w:rFonts w:hint="eastAsia" w:ascii="宋体" w:hAnsi="宋体" w:cs="宋体"/>
                <w:kern w:val="0"/>
              </w:rPr>
              <w:t>、重大分歧意见的处理经过和依据</w:t>
            </w:r>
            <w:bookmarkEnd w:id="10"/>
            <w:bookmarkEnd w:id="11"/>
            <w:bookmarkEnd w:id="12"/>
            <w:bookmarkEnd w:id="13"/>
            <w:bookmarkEnd w:id="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r>
              <w:rPr>
                <w:rFonts w:hint="eastAsia" w:ascii="宋体" w:hAnsi="宋体" w:cs="宋体"/>
                <w:kern w:val="0"/>
              </w:rPr>
              <w:t>所有编写人员通力合作，相互协调，充分讨论，广泛吸纳不同意见和建议。因此，本标准的编写无重大意见分歧。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571" w:type="dxa"/>
            <w:gridSpan w:val="6"/>
            <w:tcBorders>
              <w:bottom w:val="single" w:color="auto" w:sz="4" w:space="0"/>
            </w:tcBorders>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bookmarkStart w:id="15" w:name="_Toc464905812"/>
            <w:bookmarkStart w:id="16" w:name="_Toc464905560"/>
            <w:bookmarkStart w:id="17" w:name="_Toc465074269"/>
            <w:bookmarkStart w:id="18" w:name="_Toc464905616"/>
            <w:bookmarkStart w:id="19" w:name="_Toc464902855"/>
            <w:r>
              <w:rPr>
                <w:rFonts w:ascii="宋体" w:hAnsi="宋体" w:cs="宋体"/>
                <w:kern w:val="0"/>
              </w:rPr>
              <w:t>8</w:t>
            </w:r>
            <w:r>
              <w:rPr>
                <w:rFonts w:hint="eastAsia" w:ascii="宋体" w:hAnsi="宋体" w:cs="宋体"/>
                <w:kern w:val="0"/>
              </w:rPr>
              <w:t>、贯彻标准的要求和措施建议（包括组织措施、技术措施、过渡办法、实施日期等）</w:t>
            </w:r>
            <w:bookmarkEnd w:id="15"/>
            <w:bookmarkEnd w:id="16"/>
            <w:bookmarkEnd w:id="17"/>
            <w:bookmarkEnd w:id="18"/>
            <w:bookmarkEnd w:id="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tcBorders>
              <w:top w:val="single" w:color="auto" w:sz="4" w:space="0"/>
              <w:left w:val="single" w:color="auto" w:sz="4" w:space="0"/>
              <w:bottom w:val="single" w:color="auto" w:sz="4" w:space="0"/>
              <w:right w:val="single" w:color="auto" w:sz="4" w:space="0"/>
            </w:tcBorders>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r>
              <w:rPr>
                <w:rFonts w:hint="eastAsia" w:ascii="宋体" w:hAnsi="宋体" w:cs="宋体"/>
                <w:kern w:val="0"/>
              </w:rPr>
              <w:t>由标准起草单位负责编写实施标准的宣传学习资料和技术培训工作。在标准的宣贯过程中，通过各类媒体，网络宣传使用相关标准化知识，在相应的农场、合作社、农技站等企事业单位进行宣传，在</w:t>
            </w:r>
            <w:r>
              <w:rPr>
                <w:rFonts w:hint="eastAsia" w:ascii="宋体" w:hAnsi="宋体" w:cs="宋体"/>
                <w:kern w:val="0"/>
                <w:lang w:eastAsia="zh-CN"/>
              </w:rPr>
              <w:t>科技下乡、高素质农民</w:t>
            </w:r>
            <w:r>
              <w:rPr>
                <w:rFonts w:hint="eastAsia" w:ascii="宋体" w:hAnsi="宋体" w:cs="宋体"/>
                <w:kern w:val="0"/>
              </w:rPr>
              <w:t>培训</w:t>
            </w:r>
            <w:r>
              <w:rPr>
                <w:rFonts w:hint="eastAsia" w:ascii="宋体" w:hAnsi="宋体" w:cs="宋体"/>
                <w:kern w:val="0"/>
                <w:lang w:eastAsia="zh-CN"/>
              </w:rPr>
              <w:t>和会议</w:t>
            </w:r>
            <w:r>
              <w:rPr>
                <w:rFonts w:hint="eastAsia" w:ascii="宋体" w:hAnsi="宋体" w:cs="宋体"/>
                <w:kern w:val="0"/>
              </w:rPr>
              <w:t>上进行宣</w:t>
            </w:r>
            <w:r>
              <w:rPr>
                <w:rFonts w:hint="eastAsia" w:ascii="宋体" w:hAnsi="宋体" w:cs="宋体"/>
                <w:kern w:val="0"/>
                <w:lang w:eastAsia="zh-CN"/>
              </w:rPr>
              <w:t>贯</w:t>
            </w:r>
            <w:r>
              <w:rPr>
                <w:rFonts w:hint="eastAsia" w:ascii="宋体" w:hAnsi="宋体" w:cs="宋体"/>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tcBorders>
              <w:top w:val="single" w:color="auto" w:sz="4" w:space="0"/>
            </w:tcBorders>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bookmarkStart w:id="20" w:name="_Toc464905813"/>
            <w:bookmarkStart w:id="21" w:name="_Toc464905617"/>
            <w:bookmarkStart w:id="22" w:name="_Toc465074270"/>
            <w:bookmarkStart w:id="23" w:name="_Toc464902856"/>
            <w:bookmarkStart w:id="24" w:name="_Toc464905561"/>
            <w:r>
              <w:rPr>
                <w:rFonts w:ascii="宋体" w:hAnsi="宋体" w:cs="宋体"/>
                <w:kern w:val="0"/>
              </w:rPr>
              <w:t>9</w:t>
            </w:r>
            <w:r>
              <w:rPr>
                <w:rFonts w:hint="eastAsia" w:ascii="宋体" w:hAnsi="宋体" w:cs="宋体"/>
                <w:kern w:val="0"/>
              </w:rPr>
              <w:t>、废止现行相关标准的建议</w:t>
            </w:r>
            <w:bookmarkEnd w:id="20"/>
            <w:bookmarkEnd w:id="21"/>
            <w:bookmarkEnd w:id="22"/>
            <w:bookmarkEnd w:id="23"/>
            <w:bookmarkEnd w:id="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r>
              <w:rPr>
                <w:rFonts w:hint="eastAsia" w:ascii="宋体" w:cs="Times New Roman"/>
                <w:kern w:val="0"/>
              </w:rPr>
              <w:t>无</w:t>
            </w:r>
            <w:bookmarkStart w:id="30" w:name="_GoBack"/>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bookmarkStart w:id="25" w:name="_Toc464905814"/>
            <w:bookmarkStart w:id="26" w:name="_Toc464905618"/>
            <w:bookmarkStart w:id="27" w:name="_Toc464902857"/>
            <w:bookmarkStart w:id="28" w:name="_Toc465074271"/>
            <w:bookmarkStart w:id="29" w:name="_Toc464905562"/>
            <w:r>
              <w:rPr>
                <w:rFonts w:ascii="宋体" w:hAnsi="宋体" w:cs="宋体"/>
                <w:kern w:val="0"/>
              </w:rPr>
              <w:t>10</w:t>
            </w:r>
            <w:r>
              <w:rPr>
                <w:rFonts w:hint="eastAsia" w:ascii="宋体" w:hAnsi="宋体" w:cs="宋体"/>
                <w:kern w:val="0"/>
              </w:rPr>
              <w:t>、其它应予说明的事项</w:t>
            </w:r>
            <w:bookmarkEnd w:id="25"/>
            <w:bookmarkEnd w:id="26"/>
            <w:bookmarkEnd w:id="27"/>
            <w:bookmarkEnd w:id="28"/>
            <w:bookmarkEnd w:id="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cs="Times New Roman"/>
                <w:kern w:val="0"/>
              </w:rPr>
            </w:pPr>
            <w:r>
              <w:rPr>
                <w:rFonts w:hint="eastAsia" w:ascii="宋体" w:cs="Times New Roman"/>
                <w:kern w:val="0"/>
              </w:rPr>
              <w:t>无</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moder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documentProtection w:enforcement="0"/>
  <w:defaultTabStop w:val="420"/>
  <w:drawingGridVerticalSpacing w:val="156"/>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iYWVjNjQ2M2M1ZWZiYTY0YzEzYjg1MjE2MDNmZWMifQ=="/>
  </w:docVars>
  <w:rsids>
    <w:rsidRoot w:val="41E33E99"/>
    <w:rsid w:val="0014670E"/>
    <w:rsid w:val="0039424F"/>
    <w:rsid w:val="003D35E5"/>
    <w:rsid w:val="004E4441"/>
    <w:rsid w:val="00762EC0"/>
    <w:rsid w:val="00BE2B9D"/>
    <w:rsid w:val="05F068F7"/>
    <w:rsid w:val="1DBC0263"/>
    <w:rsid w:val="26F132AF"/>
    <w:rsid w:val="2D9C3EB2"/>
    <w:rsid w:val="37FF480D"/>
    <w:rsid w:val="39A838DB"/>
    <w:rsid w:val="3A3D3519"/>
    <w:rsid w:val="41E33E99"/>
    <w:rsid w:val="480C63E6"/>
    <w:rsid w:val="4D4E1844"/>
    <w:rsid w:val="52D21811"/>
    <w:rsid w:val="5919715D"/>
    <w:rsid w:val="68413853"/>
    <w:rsid w:val="6B3E1C40"/>
    <w:rsid w:val="DBFB07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sz w:val="24"/>
      <w:szCs w:val="24"/>
    </w:rPr>
  </w:style>
  <w:style w:type="paragraph" w:customStyle="1" w:styleId="7">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8">
    <w:name w:val="页眉 字符"/>
    <w:basedOn w:val="6"/>
    <w:link w:val="3"/>
    <w:qFormat/>
    <w:uiPriority w:val="0"/>
    <w:rPr>
      <w:rFonts w:ascii="Calibri" w:hAnsi="Calibri" w:cs="Calibri"/>
      <w:kern w:val="2"/>
      <w:sz w:val="18"/>
      <w:szCs w:val="18"/>
    </w:rPr>
  </w:style>
  <w:style w:type="character" w:customStyle="1" w:styleId="9">
    <w:name w:val="页脚 字符"/>
    <w:basedOn w:val="6"/>
    <w:link w:val="2"/>
    <w:qFormat/>
    <w:uiPriority w:val="0"/>
    <w:rPr>
      <w:rFonts w:ascii="Calibri" w:hAnsi="Calibri" w:cs="Calibri"/>
      <w:kern w:val="2"/>
      <w:sz w:val="18"/>
      <w:szCs w:val="18"/>
    </w:rPr>
  </w:style>
  <w:style w:type="paragraph" w:customStyle="1" w:styleId="10">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czsscglj</Company>
  <Pages>3</Pages>
  <Words>3404</Words>
  <Characters>3683</Characters>
  <Lines>20</Lines>
  <Paragraphs>5</Paragraphs>
  <TotalTime>3</TotalTime>
  <ScaleCrop>false</ScaleCrop>
  <LinksUpToDate>false</LinksUpToDate>
  <CharactersWithSpaces>3714</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2024-04-24T15:05:00Z</dcterms:created>
  <dc:creator>陈国秀</dc:creator>
  <cp:lastModifiedBy>kylin</cp:lastModifiedBy>
  <dcterms:modified xsi:type="dcterms:W3CDTF">2025-01-24T09:38:27Z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6FBBA4A5865B460C94E9D307612E72F6_13</vt:lpwstr>
  </property>
  <property fmtid="{D5CDD505-2E9C-101B-9397-08002B2CF9AE}" pid="4" name="KSOTemplateDocerSaveRecord">
    <vt:lpwstr>eyJoZGlkIjoiNGFmYzBiMjcyOTJmOTBjN2M4YTNjZDYxOTY2ODI0MzciLCJ1c2VySWQiOiIzOTE1OTE1NzYifQ==</vt:lpwstr>
  </property>
</Properties>
</file>