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  <w:t>池州市新兴产业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“白名单”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  <w:t>企业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管理办法(试行)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(征求意见稿)》的起草说明</w:t>
      </w:r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一、起草的背景、目的和意义</w:t>
      </w:r>
    </w:p>
    <w:p>
      <w:pPr>
        <w:numPr>
          <w:ilvl w:val="0"/>
          <w:numId w:val="0"/>
        </w:numPr>
        <w:ind w:firstLine="640" w:firstLineChars="200"/>
        <w:rPr>
          <w:rFonts w:hint="eastAsia" w:ascii="宋体" w:hAnsi="宋体" w:eastAsia="仿宋_GB2312" w:cs="仿宋_GB2312"/>
          <w:sz w:val="32"/>
          <w:szCs w:val="32"/>
          <w:lang w:val="en-US" w:eastAsia="zh-CN"/>
        </w:rPr>
      </w:pPr>
      <w:bookmarkStart w:id="0" w:name="OLE_LINK2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根据《国务院关于加强和规范事中事后监管的指导意见》</w:t>
      </w:r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（国发〔2019〕18号）文件要求，对新兴产业实施包容审慎监管，促进新动能发展壮大。为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推动我市新技术、新产业、新业态、新模式等新兴产业的高质量发展，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按照全市坚持产业强市强化项目建设推动高质量发展大会要求，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市市场监督管理局联合市发展和改革委员会、市工业和信息化局、市文化和旅游局、市生态环境局、市卫生健康委员会、市数据资源管理局、市农业农村局等部门，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对半导体、 新材料、高端装备制造、人工智能和数字经济、新能源和节能环保、健康医疗养老、绿色食品、文化旅游创意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和新能源汽车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等“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大新兴产业”中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风险低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信用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好的企业建立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白名单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企业管理办法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  <w:r>
        <w:rPr>
          <w:rFonts w:hint="eastAsia" w:ascii="宋体" w:hAnsi="宋体" w:eastAsia="仿宋_GB2312" w:cs="仿宋_GB2312"/>
          <w:sz w:val="32"/>
          <w:szCs w:val="32"/>
        </w:rPr>
        <w:t>对</w:t>
      </w:r>
      <w:r>
        <w:rPr>
          <w:rFonts w:hint="eastAsia" w:ascii="宋体" w:hAnsi="宋体" w:eastAsia="仿宋_GB2312" w:cs="仿宋_GB2312"/>
          <w:sz w:val="32"/>
          <w:szCs w:val="32"/>
          <w:lang w:eastAsia="zh-CN"/>
        </w:rPr>
        <w:t>“</w:t>
      </w:r>
      <w:r>
        <w:rPr>
          <w:rFonts w:hint="eastAsia" w:ascii="宋体" w:hAnsi="宋体" w:eastAsia="仿宋_GB2312" w:cs="仿宋_GB2312"/>
          <w:sz w:val="32"/>
          <w:szCs w:val="32"/>
        </w:rPr>
        <w:t>白名单</w:t>
      </w:r>
      <w:r>
        <w:rPr>
          <w:rFonts w:hint="eastAsia" w:ascii="宋体" w:hAnsi="宋体" w:eastAsia="仿宋_GB2312" w:cs="仿宋_GB2312"/>
          <w:sz w:val="32"/>
          <w:szCs w:val="32"/>
          <w:lang w:eastAsia="zh-CN"/>
        </w:rPr>
        <w:t>”</w:t>
      </w:r>
      <w:r>
        <w:rPr>
          <w:rFonts w:hint="eastAsia" w:ascii="宋体" w:hAnsi="宋体" w:eastAsia="仿宋_GB2312" w:cs="仿宋_GB2312"/>
          <w:sz w:val="32"/>
          <w:szCs w:val="32"/>
        </w:rPr>
        <w:t>企业日常监管实行“无事不扰”，压减检查频次，集中精准执法</w:t>
      </w:r>
      <w:r>
        <w:rPr>
          <w:rFonts w:hint="eastAsia" w:ascii="宋体" w:hAnsi="宋体" w:eastAsia="仿宋_GB2312" w:cs="仿宋_GB2312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进一步规范涉企行政检查行为，引导企业合法合规经营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二、起草过程</w:t>
      </w:r>
    </w:p>
    <w:p>
      <w:pPr>
        <w:pStyle w:val="5"/>
        <w:spacing w:before="0" w:beforeAutospacing="0" w:after="0" w:afterAutospacing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(一)深入开展案头研究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充分研究</w:t>
      </w:r>
      <w:bookmarkStart w:id="1" w:name="OLE_LINK1"/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《优化营商环境条例》《国务院关于加强和规范事中事后监管的指导意见》</w:t>
      </w:r>
      <w:bookmarkEnd w:id="1"/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《国务院办公厅关于严格规范涉企行政检查的意见》《池州市优化营商环境条例》等法律法规政策文件，创新监管方式，优化服务路径，提高政府监管效能。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（二）</w:t>
      </w:r>
      <w:r>
        <w:rPr>
          <w:rFonts w:hint="eastAsia" w:ascii="楷体_GB2312" w:hAnsi="楷体_GB2312" w:eastAsia="楷体_GB2312" w:cs="楷体_GB2312"/>
          <w:sz w:val="32"/>
          <w:szCs w:val="32"/>
        </w:rPr>
        <w:t>主动对标先进做法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对标全国典型经验做法，重点学习广州等南方沿海先进地区优化法治环境改革工作经验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收集借鉴纳入条件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纳入程序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监管机制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组织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保障等改革举措。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（三）</w:t>
      </w:r>
      <w:r>
        <w:rPr>
          <w:rFonts w:hint="eastAsia" w:ascii="楷体_GB2312" w:hAnsi="楷体_GB2312" w:eastAsia="楷体_GB2312" w:cs="楷体_GB2312"/>
          <w:sz w:val="32"/>
          <w:szCs w:val="32"/>
        </w:rPr>
        <w:t>聚焦企业困扰问题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以企业反映存在的行政检查频率较高、同一事项一年内被多次检查等困扰企业生产经营的问题为导向，重点关注执法检查数量和频率、检查规范性、执法处罚的力度和透明度，提出“进一次门，查多项事”、非现场监管等减少对企业正常生产经营干扰的具体措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三、主要内容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管理</w:t>
      </w:r>
      <w:r>
        <w:rPr>
          <w:rFonts w:hint="eastAsia" w:ascii="仿宋_GB2312" w:hAnsi="仿宋_GB2312" w:eastAsia="仿宋_GB2312" w:cs="仿宋_GB2312"/>
          <w:sz w:val="32"/>
          <w:szCs w:val="32"/>
        </w:rPr>
        <w:t>办法》分为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七</w:t>
      </w:r>
      <w:r>
        <w:rPr>
          <w:rFonts w:hint="eastAsia" w:ascii="仿宋_GB2312" w:hAnsi="仿宋_GB2312" w:eastAsia="仿宋_GB2312" w:cs="仿宋_GB2312"/>
          <w:sz w:val="32"/>
          <w:szCs w:val="32"/>
        </w:rPr>
        <w:t>个章节共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二十个</w:t>
      </w:r>
      <w:r>
        <w:rPr>
          <w:rFonts w:hint="eastAsia" w:ascii="仿宋_GB2312" w:hAnsi="仿宋_GB2312" w:eastAsia="仿宋_GB2312" w:cs="仿宋_GB2312"/>
          <w:sz w:val="32"/>
          <w:szCs w:val="32"/>
        </w:rPr>
        <w:t>条款，主要内容具体如下: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1.第一章总则，共2条</w:t>
      </w:r>
      <w:r>
        <w:rPr>
          <w:rFonts w:hint="eastAsia" w:ascii="仿宋_GB2312" w:hAnsi="仿宋_GB2312" w:eastAsia="仿宋_GB2312" w:cs="仿宋_GB2312"/>
          <w:sz w:val="32"/>
          <w:szCs w:val="32"/>
        </w:rPr>
        <w:t>。包括制定本办法依据及目的、“白名单”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企业</w:t>
      </w:r>
      <w:r>
        <w:rPr>
          <w:rFonts w:hint="eastAsia" w:ascii="仿宋_GB2312" w:hAnsi="仿宋_GB2312" w:eastAsia="仿宋_GB2312" w:cs="仿宋_GB2312"/>
          <w:sz w:val="32"/>
          <w:szCs w:val="32"/>
        </w:rPr>
        <w:t>定义等内容。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2.第二章纳入条件，共2条</w:t>
      </w:r>
      <w:r>
        <w:rPr>
          <w:rFonts w:hint="eastAsia" w:ascii="仿宋_GB2312" w:hAnsi="仿宋_GB2312" w:eastAsia="仿宋_GB2312" w:cs="仿宋_GB2312"/>
          <w:sz w:val="32"/>
          <w:szCs w:val="32"/>
        </w:rPr>
        <w:t>。包括纳入“白名单”企业需具备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</w:rPr>
        <w:t>条件以及纳入的范围。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4.第三章名单确定及动态管理，共3条</w:t>
      </w:r>
      <w:r>
        <w:rPr>
          <w:rFonts w:hint="eastAsia" w:ascii="仿宋_GB2312" w:hAnsi="仿宋_GB2312" w:eastAsia="仿宋_GB2312" w:cs="仿宋_GB2312"/>
          <w:sz w:val="32"/>
          <w:szCs w:val="32"/>
        </w:rPr>
        <w:t>。包括“白名单”企业纳入程序、管理机制以及移出后重新纳入“白名单”注意事项。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5.第四章检查机制及优化措施，共4条。</w:t>
      </w:r>
      <w:r>
        <w:rPr>
          <w:rFonts w:hint="eastAsia" w:ascii="仿宋_GB2312" w:hAnsi="仿宋_GB2312" w:eastAsia="仿宋_GB2312" w:cs="仿宋_GB2312"/>
          <w:sz w:val="32"/>
          <w:szCs w:val="32"/>
        </w:rPr>
        <w:t>包括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设置管理“包容期”，</w:t>
      </w:r>
      <w:r>
        <w:rPr>
          <w:rFonts w:hint="eastAsia" w:ascii="宋体" w:hAnsi="宋体" w:eastAsia="仿宋_GB2312" w:cs="仿宋_GB2312"/>
          <w:color w:val="auto"/>
          <w:sz w:val="32"/>
          <w:szCs w:val="32"/>
          <w:lang w:val="en-US" w:eastAsia="zh-CN"/>
        </w:rPr>
        <w:t>建立守信免查机制，建立“触发式”监管机制，实行包容审慎监管</w:t>
      </w:r>
      <w:r>
        <w:rPr>
          <w:rFonts w:hint="eastAsia" w:ascii="仿宋_GB2312" w:hAnsi="仿宋_GB2312" w:eastAsia="仿宋_GB2312" w:cs="仿宋_GB2312"/>
          <w:sz w:val="32"/>
          <w:szCs w:val="32"/>
        </w:rPr>
        <w:t>等内容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，对一般领域、重点领域监管方式进行了区分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6.第五章信用承诺及激励政策，共3条。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包括对“白名单”企业的帮扶和激励，专属联络员帮扶及“白名单”企业信用修复等内容。</w:t>
      </w:r>
      <w:bookmarkStart w:id="2" w:name="_GoBack"/>
      <w:bookmarkEnd w:id="2"/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7.第六章组织保障及监督管理,共3条</w:t>
      </w:r>
      <w:r>
        <w:rPr>
          <w:rFonts w:hint="eastAsia" w:ascii="仿宋_GB2312" w:hAnsi="仿宋_GB2312" w:eastAsia="仿宋_GB2312" w:cs="仿宋_GB2312"/>
          <w:sz w:val="32"/>
          <w:szCs w:val="32"/>
        </w:rPr>
        <w:t>。包括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牵头部门、</w:t>
      </w:r>
      <w:r>
        <w:rPr>
          <w:rFonts w:hint="eastAsia" w:ascii="仿宋_GB2312" w:hAnsi="仿宋_GB2312" w:eastAsia="仿宋_GB2312" w:cs="仿宋_GB2312"/>
          <w:sz w:val="32"/>
          <w:szCs w:val="32"/>
        </w:rPr>
        <w:t>行业主管部门及各行政检查单位的相关职责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8.第七章附则,共3条。</w:t>
      </w:r>
      <w:r>
        <w:rPr>
          <w:rFonts w:hint="eastAsia" w:ascii="仿宋_GB2312" w:hAnsi="仿宋_GB2312" w:eastAsia="仿宋_GB2312" w:cs="仿宋_GB2312"/>
          <w:sz w:val="32"/>
          <w:szCs w:val="32"/>
        </w:rPr>
        <w:t>包括“白名单”制度推广要求、试行期限以及办法解释等内容。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VlODAxMzYwZmYzMDRjMjliMGEyYTAzMjAyZDEyMmYifQ=="/>
    <w:docVar w:name="KSO_WPS_MARK_KEY" w:val="5f218676-a237-4a54-829a-2e0ade9207e5"/>
  </w:docVars>
  <w:rsids>
    <w:rsidRoot w:val="00000000"/>
    <w:rsid w:val="008D4EE8"/>
    <w:rsid w:val="00977B14"/>
    <w:rsid w:val="03773C2D"/>
    <w:rsid w:val="03F51722"/>
    <w:rsid w:val="05C72C4A"/>
    <w:rsid w:val="064C13A1"/>
    <w:rsid w:val="0748354D"/>
    <w:rsid w:val="08517143"/>
    <w:rsid w:val="0AF67B2D"/>
    <w:rsid w:val="0B266665"/>
    <w:rsid w:val="0B57681E"/>
    <w:rsid w:val="0B8909A2"/>
    <w:rsid w:val="0D526161"/>
    <w:rsid w:val="0DDD6D83"/>
    <w:rsid w:val="0E323572"/>
    <w:rsid w:val="0F965A9B"/>
    <w:rsid w:val="0FCE55B7"/>
    <w:rsid w:val="10271D97"/>
    <w:rsid w:val="11050ACA"/>
    <w:rsid w:val="13CB7DA9"/>
    <w:rsid w:val="142E0338"/>
    <w:rsid w:val="148D32B1"/>
    <w:rsid w:val="156A35F2"/>
    <w:rsid w:val="17F43647"/>
    <w:rsid w:val="192817FA"/>
    <w:rsid w:val="19EA2F53"/>
    <w:rsid w:val="1E696B3C"/>
    <w:rsid w:val="1EC43D73"/>
    <w:rsid w:val="21F36C40"/>
    <w:rsid w:val="23952182"/>
    <w:rsid w:val="2613738E"/>
    <w:rsid w:val="26AD1590"/>
    <w:rsid w:val="26FD2518"/>
    <w:rsid w:val="27007912"/>
    <w:rsid w:val="278422F1"/>
    <w:rsid w:val="2859377E"/>
    <w:rsid w:val="29A273A6"/>
    <w:rsid w:val="2D7C1CBC"/>
    <w:rsid w:val="2EED10C4"/>
    <w:rsid w:val="30562C99"/>
    <w:rsid w:val="3489363D"/>
    <w:rsid w:val="36161AF1"/>
    <w:rsid w:val="37F708BD"/>
    <w:rsid w:val="394418E0"/>
    <w:rsid w:val="3AD35612"/>
    <w:rsid w:val="3AFF6407"/>
    <w:rsid w:val="3D840E45"/>
    <w:rsid w:val="4036334F"/>
    <w:rsid w:val="40CF0629"/>
    <w:rsid w:val="41C37A62"/>
    <w:rsid w:val="45CA7611"/>
    <w:rsid w:val="474E6020"/>
    <w:rsid w:val="47655843"/>
    <w:rsid w:val="480F57AF"/>
    <w:rsid w:val="4851401A"/>
    <w:rsid w:val="4893018E"/>
    <w:rsid w:val="4968786D"/>
    <w:rsid w:val="49DE7B2F"/>
    <w:rsid w:val="4A031344"/>
    <w:rsid w:val="4A314103"/>
    <w:rsid w:val="4C9B3AB5"/>
    <w:rsid w:val="4D155616"/>
    <w:rsid w:val="4E422B2B"/>
    <w:rsid w:val="4F247D92"/>
    <w:rsid w:val="4F2C4E99"/>
    <w:rsid w:val="4F444B51"/>
    <w:rsid w:val="503B1837"/>
    <w:rsid w:val="512C73D2"/>
    <w:rsid w:val="519F7BA4"/>
    <w:rsid w:val="51C27D36"/>
    <w:rsid w:val="5294622D"/>
    <w:rsid w:val="5402441A"/>
    <w:rsid w:val="555C7B5A"/>
    <w:rsid w:val="56674A08"/>
    <w:rsid w:val="56EB5639"/>
    <w:rsid w:val="56F00EA2"/>
    <w:rsid w:val="574134AB"/>
    <w:rsid w:val="5ABA3CA0"/>
    <w:rsid w:val="5C675762"/>
    <w:rsid w:val="5CEE5E83"/>
    <w:rsid w:val="60566219"/>
    <w:rsid w:val="62C531E2"/>
    <w:rsid w:val="641E0DFC"/>
    <w:rsid w:val="64A82DBC"/>
    <w:rsid w:val="654D7A6A"/>
    <w:rsid w:val="656A7099"/>
    <w:rsid w:val="674F5770"/>
    <w:rsid w:val="676034DA"/>
    <w:rsid w:val="684E5A28"/>
    <w:rsid w:val="68F26E7B"/>
    <w:rsid w:val="693E5A9D"/>
    <w:rsid w:val="6ADF2795"/>
    <w:rsid w:val="6AFB3C45"/>
    <w:rsid w:val="6DBD3434"/>
    <w:rsid w:val="6DC72505"/>
    <w:rsid w:val="6EA832E3"/>
    <w:rsid w:val="6FB865A9"/>
    <w:rsid w:val="72275556"/>
    <w:rsid w:val="758B36AD"/>
    <w:rsid w:val="76D17F50"/>
    <w:rsid w:val="78514B59"/>
    <w:rsid w:val="79D52F39"/>
    <w:rsid w:val="7D1E67D7"/>
    <w:rsid w:val="7DB16DD1"/>
    <w:rsid w:val="7DF04671"/>
    <w:rsid w:val="7E290672"/>
    <w:rsid w:val="7EF0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1114</Words>
  <Characters>1126</Characters>
  <Lines>0</Lines>
  <Paragraphs>0</Paragraphs>
  <TotalTime>0</TotalTime>
  <ScaleCrop>false</ScaleCrop>
  <LinksUpToDate>false</LinksUpToDate>
  <CharactersWithSpaces>1127</CharactersWithSpaces>
  <Application>WPS Office_11.1.0.15319_F1E327BC-269C-435d-A152-05C5408002CA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2024-09-19T14:12:00Z</dcterms:created>
  <dc:creator>Administrator</dc:creator>
  <cp:lastModifiedBy>张昕</cp:lastModifiedBy>
  <dcterms:modified xsi:type="dcterms:W3CDTF">2025-03-20T09:03:10Z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2052-11.1.0.15319</vt:lpwstr>
  </property>
  <property fmtid="{D5CDD505-2E9C-101B-9397-08002B2CF9AE}" pid="3" name="ICV">
    <vt:lpwstr>C77594C0719A4FC38B2B151D43C76578_12</vt:lpwstr>
  </property>
</Properties>
</file>