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637166">
      <w:pPr>
        <w:spacing w:line="347" w:lineRule="auto"/>
        <w:rPr>
          <w:rFonts w:ascii="Times New Roman" w:hAnsi="Times New Roman" w:cs="Times New Roman"/>
          <w:lang w:eastAsia="zh-CN"/>
        </w:rPr>
      </w:pPr>
      <w:bookmarkStart w:id="3" w:name="_GoBack"/>
      <w:bookmarkEnd w:id="3"/>
    </w:p>
    <w:p w14:paraId="4DC6297C">
      <w:pPr>
        <w:spacing w:before="270" w:line="219" w:lineRule="auto"/>
        <w:ind w:left="1475"/>
        <w:rPr>
          <w:rFonts w:ascii="宋体" w:hAnsi="宋体" w:cs="宋体"/>
          <w:sz w:val="45"/>
          <w:szCs w:val="45"/>
          <w:lang w:eastAsia="zh-CN"/>
        </w:rPr>
      </w:pPr>
      <w:r>
        <w:rPr>
          <w:rFonts w:ascii="Times New Roman" w:hAnsi="Times New Roman" w:cs="Times New Roman"/>
          <w:b/>
          <w:bCs/>
          <w:sz w:val="45"/>
          <w:szCs w:val="45"/>
          <w:lang w:eastAsia="zh-CN"/>
        </w:rPr>
        <w:t xml:space="preserve">  </w:t>
      </w:r>
      <w:r>
        <w:rPr>
          <w:rFonts w:hint="eastAsia" w:ascii="Times New Roman" w:hAnsi="Times New Roman" w:cs="宋体"/>
          <w:b/>
          <w:bCs/>
          <w:sz w:val="45"/>
          <w:szCs w:val="45"/>
          <w:lang w:eastAsia="zh-CN"/>
        </w:rPr>
        <w:t>池州市市场监管局</w:t>
      </w:r>
      <w:r>
        <w:rPr>
          <w:rFonts w:hint="eastAsia" w:ascii="宋体" w:hAnsi="宋体" w:cs="宋体"/>
          <w:b/>
          <w:bCs/>
          <w:spacing w:val="2"/>
          <w:sz w:val="45"/>
          <w:szCs w:val="45"/>
          <w:lang w:eastAsia="zh-CN"/>
        </w:rPr>
        <w:t>及下属单位综合性涉企收费目录清单</w:t>
      </w:r>
    </w:p>
    <w:p w14:paraId="423B2015">
      <w:pPr>
        <w:spacing w:line="181" w:lineRule="exact"/>
        <w:rPr>
          <w:rFonts w:ascii="Times New Roman" w:hAnsi="Times New Roman" w:cs="Times New Roman"/>
          <w:lang w:eastAsia="zh-CN"/>
        </w:rPr>
      </w:pPr>
    </w:p>
    <w:tbl>
      <w:tblPr>
        <w:tblStyle w:val="4"/>
        <w:tblW w:w="14868" w:type="dxa"/>
        <w:tblInd w:w="-10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1134"/>
        <w:gridCol w:w="1620"/>
        <w:gridCol w:w="840"/>
        <w:gridCol w:w="2040"/>
        <w:gridCol w:w="1440"/>
        <w:gridCol w:w="1620"/>
        <w:gridCol w:w="1451"/>
        <w:gridCol w:w="2002"/>
        <w:gridCol w:w="1047"/>
        <w:gridCol w:w="900"/>
      </w:tblGrid>
      <w:tr w14:paraId="09CDCE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</w:trPr>
        <w:tc>
          <w:tcPr>
            <w:tcW w:w="774" w:type="dxa"/>
          </w:tcPr>
          <w:p w14:paraId="30C965C5">
            <w:pPr>
              <w:pStyle w:val="7"/>
              <w:spacing w:line="243" w:lineRule="auto"/>
              <w:rPr>
                <w:lang w:eastAsia="zh-CN"/>
              </w:rPr>
            </w:pPr>
          </w:p>
          <w:p w14:paraId="3C268B57">
            <w:pPr>
              <w:spacing w:before="78" w:line="221" w:lineRule="auto"/>
              <w:ind w:left="138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pacing w:val="-5"/>
                <w:sz w:val="24"/>
                <w:szCs w:val="24"/>
              </w:rPr>
              <w:t>序号</w:t>
            </w:r>
          </w:p>
        </w:tc>
        <w:tc>
          <w:tcPr>
            <w:tcW w:w="1134" w:type="dxa"/>
          </w:tcPr>
          <w:p w14:paraId="60DB9629">
            <w:pPr>
              <w:pStyle w:val="7"/>
              <w:spacing w:line="242" w:lineRule="auto"/>
            </w:pPr>
          </w:p>
          <w:p w14:paraId="6BFA107D">
            <w:pPr>
              <w:spacing w:before="78" w:line="219" w:lineRule="auto"/>
              <w:ind w:left="134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pacing w:val="-5"/>
                <w:sz w:val="24"/>
                <w:szCs w:val="24"/>
              </w:rPr>
              <w:t>部门名称</w:t>
            </w:r>
          </w:p>
        </w:tc>
        <w:tc>
          <w:tcPr>
            <w:tcW w:w="1620" w:type="dxa"/>
          </w:tcPr>
          <w:p w14:paraId="63DEF37C">
            <w:pPr>
              <w:pStyle w:val="7"/>
              <w:spacing w:line="242" w:lineRule="auto"/>
            </w:pPr>
          </w:p>
          <w:p w14:paraId="60EBC5F8">
            <w:pPr>
              <w:spacing w:before="78" w:line="219" w:lineRule="auto"/>
              <w:ind w:left="135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pacing w:val="-2"/>
                <w:sz w:val="24"/>
                <w:szCs w:val="24"/>
              </w:rPr>
              <w:t>收费单位名称</w:t>
            </w:r>
          </w:p>
        </w:tc>
        <w:tc>
          <w:tcPr>
            <w:tcW w:w="840" w:type="dxa"/>
          </w:tcPr>
          <w:p w14:paraId="1E784294">
            <w:pPr>
              <w:spacing w:before="153" w:line="273" w:lineRule="auto"/>
              <w:ind w:left="176" w:right="153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pacing w:val="-9"/>
                <w:sz w:val="24"/>
                <w:szCs w:val="24"/>
              </w:rPr>
              <w:t>单位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spacing w:val="7"/>
                <w:sz w:val="24"/>
                <w:szCs w:val="24"/>
              </w:rPr>
              <w:t>性质</w:t>
            </w:r>
          </w:p>
        </w:tc>
        <w:tc>
          <w:tcPr>
            <w:tcW w:w="2040" w:type="dxa"/>
          </w:tcPr>
          <w:p w14:paraId="1ABDE697">
            <w:pPr>
              <w:pStyle w:val="7"/>
              <w:spacing w:line="242" w:lineRule="auto"/>
            </w:pPr>
          </w:p>
          <w:p w14:paraId="3E0C83FC">
            <w:pPr>
              <w:spacing w:before="78" w:line="219" w:lineRule="auto"/>
              <w:ind w:left="136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b/>
                <w:bCs/>
                <w:spacing w:val="7"/>
                <w:sz w:val="24"/>
                <w:szCs w:val="24"/>
                <w:lang w:eastAsia="zh-CN"/>
              </w:rPr>
              <w:t xml:space="preserve">  </w:t>
            </w:r>
            <w:r>
              <w:rPr>
                <w:rFonts w:hint="eastAsia" w:ascii="宋体" w:hAnsi="宋体" w:cs="宋体"/>
                <w:b/>
                <w:bCs/>
                <w:spacing w:val="7"/>
                <w:sz w:val="24"/>
                <w:szCs w:val="24"/>
              </w:rPr>
              <w:t>收费项目</w:t>
            </w:r>
          </w:p>
        </w:tc>
        <w:tc>
          <w:tcPr>
            <w:tcW w:w="1440" w:type="dxa"/>
            <w:vAlign w:val="center"/>
          </w:tcPr>
          <w:p w14:paraId="383C44A3">
            <w:pPr>
              <w:spacing w:before="78" w:line="219" w:lineRule="auto"/>
              <w:ind w:left="72"/>
              <w:jc w:val="both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pacing w:val="2"/>
                <w:sz w:val="24"/>
                <w:szCs w:val="24"/>
              </w:rPr>
              <w:t>收费性质</w:t>
            </w:r>
          </w:p>
        </w:tc>
        <w:tc>
          <w:tcPr>
            <w:tcW w:w="1620" w:type="dxa"/>
          </w:tcPr>
          <w:p w14:paraId="4796DE48">
            <w:pPr>
              <w:spacing w:before="140" w:line="278" w:lineRule="auto"/>
              <w:ind w:left="227" w:right="119" w:hanging="119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pacing w:val="-5"/>
                <w:sz w:val="24"/>
                <w:szCs w:val="24"/>
              </w:rPr>
              <w:t>服务内容或</w:t>
            </w:r>
            <w:r>
              <w:rPr>
                <w:rFonts w:ascii="宋体" w:hAnsi="宋体" w:cs="宋体"/>
                <w:spacing w:val="2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spacing w:val="-5"/>
                <w:sz w:val="24"/>
                <w:szCs w:val="24"/>
              </w:rPr>
              <w:t>涉及事项</w:t>
            </w:r>
          </w:p>
        </w:tc>
        <w:tc>
          <w:tcPr>
            <w:tcW w:w="1451" w:type="dxa"/>
          </w:tcPr>
          <w:p w14:paraId="3C0A7231">
            <w:pPr>
              <w:pStyle w:val="7"/>
              <w:spacing w:line="242" w:lineRule="auto"/>
            </w:pPr>
          </w:p>
          <w:p w14:paraId="60005F7F">
            <w:pPr>
              <w:spacing w:before="78" w:line="219" w:lineRule="auto"/>
              <w:ind w:left="139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pacing w:val="-2"/>
                <w:sz w:val="24"/>
                <w:szCs w:val="24"/>
              </w:rPr>
              <w:t>收费标准</w:t>
            </w:r>
          </w:p>
        </w:tc>
        <w:tc>
          <w:tcPr>
            <w:tcW w:w="2002" w:type="dxa"/>
          </w:tcPr>
          <w:p w14:paraId="518BD049">
            <w:pPr>
              <w:spacing w:before="152" w:line="220" w:lineRule="auto"/>
              <w:ind w:left="340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pacing w:val="-5"/>
                <w:sz w:val="24"/>
                <w:szCs w:val="24"/>
              </w:rPr>
              <w:t>标准制定</w:t>
            </w:r>
          </w:p>
          <w:p w14:paraId="0A94A0EE">
            <w:pPr>
              <w:spacing w:before="153" w:line="209" w:lineRule="auto"/>
              <w:ind w:left="220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pacing w:val="1"/>
                <w:sz w:val="24"/>
                <w:szCs w:val="24"/>
              </w:rPr>
              <w:t>方式及部门</w:t>
            </w:r>
          </w:p>
        </w:tc>
        <w:tc>
          <w:tcPr>
            <w:tcW w:w="1047" w:type="dxa"/>
          </w:tcPr>
          <w:p w14:paraId="44CF2151">
            <w:pPr>
              <w:pStyle w:val="7"/>
            </w:pPr>
          </w:p>
          <w:p w14:paraId="0E886656">
            <w:pPr>
              <w:spacing w:before="78" w:line="219" w:lineRule="auto"/>
              <w:ind w:left="141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pacing w:val="-5"/>
                <w:sz w:val="24"/>
                <w:szCs w:val="24"/>
              </w:rPr>
              <w:t>政策依据</w:t>
            </w:r>
          </w:p>
        </w:tc>
        <w:tc>
          <w:tcPr>
            <w:tcW w:w="900" w:type="dxa"/>
          </w:tcPr>
          <w:p w14:paraId="0E8665EE">
            <w:pPr>
              <w:pStyle w:val="7"/>
              <w:spacing w:line="243" w:lineRule="auto"/>
            </w:pPr>
          </w:p>
          <w:p w14:paraId="549331D1">
            <w:pPr>
              <w:spacing w:before="78" w:line="221" w:lineRule="auto"/>
              <w:ind w:left="332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pacing w:val="-6"/>
                <w:sz w:val="24"/>
                <w:szCs w:val="24"/>
              </w:rPr>
              <w:t>备注</w:t>
            </w:r>
          </w:p>
        </w:tc>
      </w:tr>
      <w:tr w14:paraId="341B2C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</w:trPr>
        <w:tc>
          <w:tcPr>
            <w:tcW w:w="774" w:type="dxa"/>
          </w:tcPr>
          <w:p w14:paraId="5614FD83">
            <w:pPr>
              <w:pStyle w:val="7"/>
              <w:spacing w:line="243" w:lineRule="auto"/>
            </w:pPr>
          </w:p>
          <w:p w14:paraId="4686810E">
            <w:pPr>
              <w:spacing w:before="78" w:line="221" w:lineRule="auto"/>
              <w:ind w:left="255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134" w:type="dxa"/>
          </w:tcPr>
          <w:p w14:paraId="0E8D114C">
            <w:pPr>
              <w:pStyle w:val="7"/>
              <w:spacing w:line="243" w:lineRule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  <w:p w14:paraId="1E5C7E8F">
            <w:pPr>
              <w:spacing w:before="78" w:line="221" w:lineRule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bookmarkStart w:id="0" w:name="OLE_LINK4"/>
            <w:bookmarkStart w:id="1" w:name="OLE_LINK3"/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  <w:t>池州市市场监管局</w:t>
            </w:r>
            <w:bookmarkEnd w:id="0"/>
            <w:bookmarkEnd w:id="1"/>
          </w:p>
        </w:tc>
        <w:tc>
          <w:tcPr>
            <w:tcW w:w="1620" w:type="dxa"/>
            <w:vAlign w:val="center"/>
          </w:tcPr>
          <w:p w14:paraId="3090A3F7">
            <w:pPr>
              <w:spacing w:before="78" w:line="219" w:lineRule="auto"/>
              <w:ind w:left="72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bookmarkStart w:id="2" w:name="OLE_LINK2"/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  <w:t>池州市特种设备监督检验中心</w:t>
            </w:r>
            <w:bookmarkEnd w:id="2"/>
          </w:p>
        </w:tc>
        <w:tc>
          <w:tcPr>
            <w:tcW w:w="840" w:type="dxa"/>
          </w:tcPr>
          <w:p w14:paraId="6F7811CA">
            <w:pPr>
              <w:spacing w:before="135" w:line="218" w:lineRule="auto"/>
              <w:ind w:left="173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-3"/>
                <w:sz w:val="24"/>
                <w:szCs w:val="24"/>
              </w:rPr>
              <w:t>事业</w:t>
            </w:r>
            <w:r>
              <w:rPr>
                <w:rFonts w:hint="eastAsia" w:ascii="宋体" w:hAnsi="宋体" w:cs="宋体"/>
                <w:spacing w:val="4"/>
                <w:sz w:val="24"/>
                <w:szCs w:val="24"/>
              </w:rPr>
              <w:t>单位</w:t>
            </w:r>
          </w:p>
        </w:tc>
        <w:tc>
          <w:tcPr>
            <w:tcW w:w="2040" w:type="dxa"/>
          </w:tcPr>
          <w:p w14:paraId="2B032072">
            <w:pPr>
              <w:pStyle w:val="7"/>
              <w:spacing w:line="243" w:lineRule="auto"/>
              <w:rPr>
                <w:lang w:eastAsia="zh-CN"/>
              </w:rPr>
            </w:pPr>
          </w:p>
          <w:p w14:paraId="031D357A">
            <w:pPr>
              <w:spacing w:before="78" w:line="220" w:lineRule="auto"/>
              <w:ind w:left="132"/>
              <w:rPr>
                <w:rFonts w:ascii="宋体" w:hAnsi="宋体" w:cs="宋体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特种设备检验检测费（含安全阀校验、水（介）质化验及特种设备作业人员考试费）</w:t>
            </w:r>
          </w:p>
        </w:tc>
        <w:tc>
          <w:tcPr>
            <w:tcW w:w="1440" w:type="dxa"/>
          </w:tcPr>
          <w:p w14:paraId="1F74C179">
            <w:pPr>
              <w:pStyle w:val="7"/>
              <w:spacing w:line="242" w:lineRule="auto"/>
              <w:rPr>
                <w:lang w:eastAsia="zh-CN"/>
              </w:rPr>
            </w:pPr>
          </w:p>
          <w:p w14:paraId="28656072">
            <w:pPr>
              <w:spacing w:before="78" w:line="219" w:lineRule="auto"/>
              <w:ind w:left="124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2"/>
                <w:sz w:val="24"/>
                <w:szCs w:val="24"/>
              </w:rPr>
              <w:t>行政事业性收费</w:t>
            </w:r>
          </w:p>
        </w:tc>
        <w:tc>
          <w:tcPr>
            <w:tcW w:w="1620" w:type="dxa"/>
            <w:vAlign w:val="center"/>
          </w:tcPr>
          <w:p w14:paraId="5F27E72E">
            <w:pPr>
              <w:pStyle w:val="7"/>
              <w:jc w:val="both"/>
              <w:rPr>
                <w:lang w:eastAsia="zh-CN"/>
              </w:rPr>
            </w:pPr>
            <w:r>
              <w:rPr>
                <w:rFonts w:hint="eastAsia" w:cs="宋体"/>
                <w:lang w:eastAsia="zh-CN"/>
              </w:rPr>
              <w:t>特种设备检验检测及作业人员考试服务</w:t>
            </w:r>
          </w:p>
        </w:tc>
        <w:tc>
          <w:tcPr>
            <w:tcW w:w="1451" w:type="dxa"/>
            <w:vAlign w:val="center"/>
          </w:tcPr>
          <w:p w14:paraId="73217AA4">
            <w:pPr>
              <w:pStyle w:val="7"/>
              <w:jc w:val="center"/>
              <w:rPr>
                <w:lang w:eastAsia="zh-CN"/>
              </w:rPr>
            </w:pPr>
            <w:r>
              <w:rPr>
                <w:rFonts w:hint="eastAsia" w:cs="宋体"/>
                <w:lang w:eastAsia="zh-CN"/>
              </w:rPr>
              <w:t>皖价费【</w:t>
            </w:r>
            <w:r>
              <w:rPr>
                <w:lang w:eastAsia="zh-CN"/>
              </w:rPr>
              <w:t>2014</w:t>
            </w:r>
            <w:r>
              <w:rPr>
                <w:rFonts w:hint="eastAsia" w:cs="宋体"/>
                <w:lang w:eastAsia="zh-CN"/>
              </w:rPr>
              <w:t>】</w:t>
            </w:r>
            <w:r>
              <w:rPr>
                <w:lang w:eastAsia="zh-CN"/>
              </w:rPr>
              <w:t>145</w:t>
            </w:r>
            <w:r>
              <w:rPr>
                <w:rFonts w:hint="eastAsia" w:cs="宋体"/>
                <w:lang w:eastAsia="zh-CN"/>
              </w:rPr>
              <w:t>号</w:t>
            </w:r>
          </w:p>
        </w:tc>
        <w:tc>
          <w:tcPr>
            <w:tcW w:w="2002" w:type="dxa"/>
            <w:vAlign w:val="center"/>
          </w:tcPr>
          <w:p w14:paraId="593D803B">
            <w:pPr>
              <w:pStyle w:val="7"/>
              <w:jc w:val="center"/>
              <w:rPr>
                <w:lang w:eastAsia="zh-CN"/>
              </w:rPr>
            </w:pPr>
            <w:r>
              <w:rPr>
                <w:rFonts w:hint="eastAsia" w:cs="宋体"/>
                <w:lang w:eastAsia="zh-CN"/>
              </w:rPr>
              <w:t>安徽省物价局、安徽省财政厅</w:t>
            </w:r>
          </w:p>
        </w:tc>
        <w:tc>
          <w:tcPr>
            <w:tcW w:w="1047" w:type="dxa"/>
          </w:tcPr>
          <w:p w14:paraId="67A33AA4">
            <w:pPr>
              <w:pStyle w:val="7"/>
              <w:rPr>
                <w:lang w:eastAsia="zh-CN"/>
              </w:rPr>
            </w:pPr>
            <w:r>
              <w:rPr>
                <w:rFonts w:hint="eastAsia" w:cs="宋体"/>
                <w:lang w:eastAsia="zh-CN"/>
              </w:rPr>
              <w:t>《中华人民共和国特种设备安全法》</w:t>
            </w:r>
          </w:p>
        </w:tc>
        <w:tc>
          <w:tcPr>
            <w:tcW w:w="900" w:type="dxa"/>
          </w:tcPr>
          <w:p w14:paraId="4DF896DB">
            <w:pPr>
              <w:pStyle w:val="7"/>
              <w:rPr>
                <w:lang w:eastAsia="zh-CN"/>
              </w:rPr>
            </w:pPr>
          </w:p>
        </w:tc>
      </w:tr>
      <w:tr w14:paraId="480D32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</w:trPr>
        <w:tc>
          <w:tcPr>
            <w:tcW w:w="774" w:type="dxa"/>
            <w:vAlign w:val="center"/>
          </w:tcPr>
          <w:p w14:paraId="618EC57E">
            <w:pPr>
              <w:pStyle w:val="7"/>
              <w:jc w:val="center"/>
              <w:rPr>
                <w:lang w:eastAsia="zh-CN"/>
              </w:rPr>
            </w:pPr>
          </w:p>
        </w:tc>
        <w:tc>
          <w:tcPr>
            <w:tcW w:w="1134" w:type="dxa"/>
          </w:tcPr>
          <w:p w14:paraId="58C1FBC6">
            <w:pPr>
              <w:spacing w:before="78" w:line="221" w:lineRule="auto"/>
              <w:ind w:left="126"/>
              <w:rPr>
                <w:rFonts w:ascii="宋体" w:hAnsi="宋体" w:cs="宋体"/>
                <w:sz w:val="24"/>
                <w:szCs w:val="24"/>
                <w:lang w:eastAsia="zh-CN"/>
              </w:rPr>
            </w:pPr>
          </w:p>
        </w:tc>
        <w:tc>
          <w:tcPr>
            <w:tcW w:w="1620" w:type="dxa"/>
          </w:tcPr>
          <w:p w14:paraId="7C0A6E2B">
            <w:pPr>
              <w:spacing w:before="78" w:line="220" w:lineRule="auto"/>
              <w:ind w:left="72"/>
              <w:rPr>
                <w:rFonts w:ascii="宋体" w:hAnsi="宋体" w:cs="宋体"/>
                <w:sz w:val="24"/>
                <w:szCs w:val="24"/>
                <w:lang w:eastAsia="zh-CN"/>
              </w:rPr>
            </w:pPr>
          </w:p>
        </w:tc>
        <w:tc>
          <w:tcPr>
            <w:tcW w:w="840" w:type="dxa"/>
          </w:tcPr>
          <w:p w14:paraId="0EA6C5B3">
            <w:pPr>
              <w:spacing w:before="163" w:line="217" w:lineRule="auto"/>
              <w:ind w:left="173"/>
              <w:rPr>
                <w:rFonts w:ascii="宋体" w:hAnsi="宋体" w:cs="宋体"/>
                <w:sz w:val="24"/>
                <w:szCs w:val="24"/>
                <w:lang w:eastAsia="zh-CN"/>
              </w:rPr>
            </w:pPr>
          </w:p>
        </w:tc>
        <w:tc>
          <w:tcPr>
            <w:tcW w:w="2040" w:type="dxa"/>
          </w:tcPr>
          <w:p w14:paraId="20628640">
            <w:pPr>
              <w:spacing w:before="78" w:line="220" w:lineRule="auto"/>
              <w:ind w:left="373"/>
              <w:rPr>
                <w:rFonts w:ascii="宋体" w:hAnsi="宋体" w:cs="宋体"/>
                <w:sz w:val="24"/>
                <w:szCs w:val="24"/>
                <w:lang w:eastAsia="zh-CN"/>
              </w:rPr>
            </w:pPr>
          </w:p>
        </w:tc>
        <w:tc>
          <w:tcPr>
            <w:tcW w:w="1440" w:type="dxa"/>
          </w:tcPr>
          <w:p w14:paraId="6912FB44">
            <w:pPr>
              <w:spacing w:before="78" w:line="219" w:lineRule="auto"/>
              <w:ind w:left="124"/>
              <w:rPr>
                <w:rFonts w:ascii="宋体" w:hAnsi="宋体" w:cs="宋体"/>
                <w:sz w:val="24"/>
                <w:szCs w:val="24"/>
                <w:lang w:eastAsia="zh-CN"/>
              </w:rPr>
            </w:pPr>
          </w:p>
        </w:tc>
        <w:tc>
          <w:tcPr>
            <w:tcW w:w="1620" w:type="dxa"/>
            <w:vAlign w:val="center"/>
          </w:tcPr>
          <w:p w14:paraId="58689020">
            <w:pPr>
              <w:pStyle w:val="7"/>
              <w:jc w:val="both"/>
              <w:rPr>
                <w:lang w:eastAsia="zh-CN"/>
              </w:rPr>
            </w:pPr>
          </w:p>
        </w:tc>
        <w:tc>
          <w:tcPr>
            <w:tcW w:w="1451" w:type="dxa"/>
            <w:vAlign w:val="center"/>
          </w:tcPr>
          <w:p w14:paraId="2FE737C8">
            <w:pPr>
              <w:pStyle w:val="7"/>
              <w:jc w:val="both"/>
              <w:rPr>
                <w:lang w:eastAsia="zh-CN"/>
              </w:rPr>
            </w:pPr>
          </w:p>
        </w:tc>
        <w:tc>
          <w:tcPr>
            <w:tcW w:w="2002" w:type="dxa"/>
            <w:vAlign w:val="center"/>
          </w:tcPr>
          <w:p w14:paraId="1B64796C">
            <w:pPr>
              <w:pStyle w:val="7"/>
              <w:jc w:val="both"/>
              <w:rPr>
                <w:lang w:eastAsia="zh-CN"/>
              </w:rPr>
            </w:pPr>
          </w:p>
        </w:tc>
        <w:tc>
          <w:tcPr>
            <w:tcW w:w="1047" w:type="dxa"/>
          </w:tcPr>
          <w:p w14:paraId="16468AF2">
            <w:pPr>
              <w:pStyle w:val="7"/>
              <w:rPr>
                <w:lang w:eastAsia="zh-CN"/>
              </w:rPr>
            </w:pPr>
          </w:p>
        </w:tc>
        <w:tc>
          <w:tcPr>
            <w:tcW w:w="900" w:type="dxa"/>
          </w:tcPr>
          <w:p w14:paraId="54C77963">
            <w:pPr>
              <w:pStyle w:val="7"/>
              <w:rPr>
                <w:lang w:eastAsia="zh-CN"/>
              </w:rPr>
            </w:pPr>
          </w:p>
        </w:tc>
      </w:tr>
      <w:tr w14:paraId="074F90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</w:trPr>
        <w:tc>
          <w:tcPr>
            <w:tcW w:w="774" w:type="dxa"/>
          </w:tcPr>
          <w:p w14:paraId="174C4E82">
            <w:pPr>
              <w:spacing w:before="192" w:line="182" w:lineRule="auto"/>
              <w:ind w:left="315"/>
              <w:rPr>
                <w:rFonts w:ascii="宋体" w:hAnsi="宋体" w:cs="宋体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</w:tcPr>
          <w:p w14:paraId="7F06BB4D">
            <w:pPr>
              <w:pStyle w:val="7"/>
              <w:rPr>
                <w:lang w:eastAsia="zh-CN"/>
              </w:rPr>
            </w:pPr>
          </w:p>
        </w:tc>
        <w:tc>
          <w:tcPr>
            <w:tcW w:w="1620" w:type="dxa"/>
          </w:tcPr>
          <w:p w14:paraId="770E3487">
            <w:pPr>
              <w:pStyle w:val="7"/>
              <w:rPr>
                <w:lang w:eastAsia="zh-CN"/>
              </w:rPr>
            </w:pPr>
          </w:p>
        </w:tc>
        <w:tc>
          <w:tcPr>
            <w:tcW w:w="840" w:type="dxa"/>
          </w:tcPr>
          <w:p w14:paraId="693D7F3B">
            <w:pPr>
              <w:pStyle w:val="7"/>
              <w:rPr>
                <w:lang w:eastAsia="zh-CN"/>
              </w:rPr>
            </w:pPr>
          </w:p>
        </w:tc>
        <w:tc>
          <w:tcPr>
            <w:tcW w:w="2040" w:type="dxa"/>
          </w:tcPr>
          <w:p w14:paraId="69981ABA">
            <w:pPr>
              <w:pStyle w:val="7"/>
              <w:rPr>
                <w:lang w:eastAsia="zh-CN"/>
              </w:rPr>
            </w:pPr>
          </w:p>
        </w:tc>
        <w:tc>
          <w:tcPr>
            <w:tcW w:w="1440" w:type="dxa"/>
          </w:tcPr>
          <w:p w14:paraId="3FB145D1">
            <w:pPr>
              <w:pStyle w:val="7"/>
              <w:rPr>
                <w:lang w:eastAsia="zh-CN"/>
              </w:rPr>
            </w:pPr>
          </w:p>
        </w:tc>
        <w:tc>
          <w:tcPr>
            <w:tcW w:w="1620" w:type="dxa"/>
          </w:tcPr>
          <w:p w14:paraId="6AD0353F">
            <w:pPr>
              <w:pStyle w:val="7"/>
              <w:rPr>
                <w:lang w:eastAsia="zh-CN"/>
              </w:rPr>
            </w:pPr>
          </w:p>
        </w:tc>
        <w:tc>
          <w:tcPr>
            <w:tcW w:w="1451" w:type="dxa"/>
          </w:tcPr>
          <w:p w14:paraId="069522D8">
            <w:pPr>
              <w:pStyle w:val="7"/>
              <w:rPr>
                <w:lang w:eastAsia="zh-CN"/>
              </w:rPr>
            </w:pPr>
          </w:p>
        </w:tc>
        <w:tc>
          <w:tcPr>
            <w:tcW w:w="2002" w:type="dxa"/>
          </w:tcPr>
          <w:p w14:paraId="0596867D">
            <w:pPr>
              <w:pStyle w:val="7"/>
              <w:rPr>
                <w:lang w:eastAsia="zh-CN"/>
              </w:rPr>
            </w:pPr>
          </w:p>
        </w:tc>
        <w:tc>
          <w:tcPr>
            <w:tcW w:w="1047" w:type="dxa"/>
          </w:tcPr>
          <w:p w14:paraId="4E8F54D8">
            <w:pPr>
              <w:pStyle w:val="7"/>
              <w:rPr>
                <w:lang w:eastAsia="zh-CN"/>
              </w:rPr>
            </w:pPr>
          </w:p>
        </w:tc>
        <w:tc>
          <w:tcPr>
            <w:tcW w:w="900" w:type="dxa"/>
          </w:tcPr>
          <w:p w14:paraId="662C6DE5">
            <w:pPr>
              <w:pStyle w:val="7"/>
              <w:rPr>
                <w:lang w:eastAsia="zh-CN"/>
              </w:rPr>
            </w:pPr>
          </w:p>
        </w:tc>
      </w:tr>
      <w:tr w14:paraId="63EEE3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774" w:type="dxa"/>
            <w:textDirection w:val="tbRlV"/>
          </w:tcPr>
          <w:p w14:paraId="3A3133B6">
            <w:pPr>
              <w:spacing w:before="80" w:line="169" w:lineRule="exact"/>
              <w:ind w:left="106"/>
              <w:rPr>
                <w:rFonts w:ascii="宋体" w:hAnsi="宋体" w:cs="宋体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</w:tcPr>
          <w:p w14:paraId="22A8449D">
            <w:pPr>
              <w:pStyle w:val="7"/>
              <w:rPr>
                <w:lang w:eastAsia="zh-CN"/>
              </w:rPr>
            </w:pPr>
          </w:p>
        </w:tc>
        <w:tc>
          <w:tcPr>
            <w:tcW w:w="1620" w:type="dxa"/>
          </w:tcPr>
          <w:p w14:paraId="7C1D185E">
            <w:pPr>
              <w:pStyle w:val="7"/>
              <w:rPr>
                <w:lang w:eastAsia="zh-CN"/>
              </w:rPr>
            </w:pPr>
          </w:p>
        </w:tc>
        <w:tc>
          <w:tcPr>
            <w:tcW w:w="840" w:type="dxa"/>
          </w:tcPr>
          <w:p w14:paraId="116095DB">
            <w:pPr>
              <w:pStyle w:val="7"/>
              <w:rPr>
                <w:lang w:eastAsia="zh-CN"/>
              </w:rPr>
            </w:pPr>
          </w:p>
        </w:tc>
        <w:tc>
          <w:tcPr>
            <w:tcW w:w="2040" w:type="dxa"/>
          </w:tcPr>
          <w:p w14:paraId="1AAB99C6">
            <w:pPr>
              <w:pStyle w:val="7"/>
              <w:rPr>
                <w:lang w:eastAsia="zh-CN"/>
              </w:rPr>
            </w:pPr>
          </w:p>
        </w:tc>
        <w:tc>
          <w:tcPr>
            <w:tcW w:w="1440" w:type="dxa"/>
          </w:tcPr>
          <w:p w14:paraId="3ED2D5F2">
            <w:pPr>
              <w:pStyle w:val="7"/>
              <w:rPr>
                <w:lang w:eastAsia="zh-CN"/>
              </w:rPr>
            </w:pPr>
          </w:p>
        </w:tc>
        <w:tc>
          <w:tcPr>
            <w:tcW w:w="1620" w:type="dxa"/>
          </w:tcPr>
          <w:p w14:paraId="4A5938B3">
            <w:pPr>
              <w:pStyle w:val="7"/>
              <w:rPr>
                <w:lang w:eastAsia="zh-CN"/>
              </w:rPr>
            </w:pPr>
          </w:p>
        </w:tc>
        <w:tc>
          <w:tcPr>
            <w:tcW w:w="1451" w:type="dxa"/>
          </w:tcPr>
          <w:p w14:paraId="63748D48">
            <w:pPr>
              <w:pStyle w:val="7"/>
              <w:rPr>
                <w:lang w:eastAsia="zh-CN"/>
              </w:rPr>
            </w:pPr>
          </w:p>
        </w:tc>
        <w:tc>
          <w:tcPr>
            <w:tcW w:w="2002" w:type="dxa"/>
          </w:tcPr>
          <w:p w14:paraId="36DD293E">
            <w:pPr>
              <w:pStyle w:val="7"/>
              <w:rPr>
                <w:lang w:eastAsia="zh-CN"/>
              </w:rPr>
            </w:pPr>
          </w:p>
        </w:tc>
        <w:tc>
          <w:tcPr>
            <w:tcW w:w="1047" w:type="dxa"/>
          </w:tcPr>
          <w:p w14:paraId="03D477D0">
            <w:pPr>
              <w:pStyle w:val="7"/>
              <w:rPr>
                <w:lang w:eastAsia="zh-CN"/>
              </w:rPr>
            </w:pPr>
          </w:p>
        </w:tc>
        <w:tc>
          <w:tcPr>
            <w:tcW w:w="900" w:type="dxa"/>
          </w:tcPr>
          <w:p w14:paraId="0FDB5784">
            <w:pPr>
              <w:pStyle w:val="7"/>
              <w:rPr>
                <w:lang w:eastAsia="zh-CN"/>
              </w:rPr>
            </w:pPr>
          </w:p>
        </w:tc>
      </w:tr>
      <w:tr w14:paraId="2CC5FE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774" w:type="dxa"/>
            <w:textDirection w:val="tbRlV"/>
          </w:tcPr>
          <w:p w14:paraId="2916C432">
            <w:pPr>
              <w:spacing w:before="80" w:line="165" w:lineRule="exact"/>
              <w:ind w:left="116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79D50E2">
            <w:pPr>
              <w:pStyle w:val="7"/>
            </w:pPr>
          </w:p>
        </w:tc>
        <w:tc>
          <w:tcPr>
            <w:tcW w:w="1620" w:type="dxa"/>
          </w:tcPr>
          <w:p w14:paraId="526663F6">
            <w:pPr>
              <w:pStyle w:val="7"/>
            </w:pPr>
          </w:p>
        </w:tc>
        <w:tc>
          <w:tcPr>
            <w:tcW w:w="840" w:type="dxa"/>
          </w:tcPr>
          <w:p w14:paraId="155C1991">
            <w:pPr>
              <w:pStyle w:val="7"/>
            </w:pPr>
          </w:p>
        </w:tc>
        <w:tc>
          <w:tcPr>
            <w:tcW w:w="2040" w:type="dxa"/>
          </w:tcPr>
          <w:p w14:paraId="0657E81F">
            <w:pPr>
              <w:pStyle w:val="7"/>
            </w:pPr>
          </w:p>
        </w:tc>
        <w:tc>
          <w:tcPr>
            <w:tcW w:w="1440" w:type="dxa"/>
          </w:tcPr>
          <w:p w14:paraId="73E216E0">
            <w:pPr>
              <w:pStyle w:val="7"/>
            </w:pPr>
          </w:p>
        </w:tc>
        <w:tc>
          <w:tcPr>
            <w:tcW w:w="1620" w:type="dxa"/>
          </w:tcPr>
          <w:p w14:paraId="76C42FD0">
            <w:pPr>
              <w:pStyle w:val="7"/>
            </w:pPr>
          </w:p>
        </w:tc>
        <w:tc>
          <w:tcPr>
            <w:tcW w:w="1451" w:type="dxa"/>
          </w:tcPr>
          <w:p w14:paraId="19AA14B9">
            <w:pPr>
              <w:pStyle w:val="7"/>
            </w:pPr>
          </w:p>
        </w:tc>
        <w:tc>
          <w:tcPr>
            <w:tcW w:w="2002" w:type="dxa"/>
          </w:tcPr>
          <w:p w14:paraId="2D0ED055">
            <w:pPr>
              <w:pStyle w:val="7"/>
            </w:pPr>
          </w:p>
        </w:tc>
        <w:tc>
          <w:tcPr>
            <w:tcW w:w="1047" w:type="dxa"/>
          </w:tcPr>
          <w:p w14:paraId="7CF33071">
            <w:pPr>
              <w:pStyle w:val="7"/>
            </w:pPr>
          </w:p>
        </w:tc>
        <w:tc>
          <w:tcPr>
            <w:tcW w:w="900" w:type="dxa"/>
          </w:tcPr>
          <w:p w14:paraId="2763D342">
            <w:pPr>
              <w:pStyle w:val="7"/>
            </w:pPr>
          </w:p>
        </w:tc>
      </w:tr>
    </w:tbl>
    <w:p w14:paraId="023A5662">
      <w:pPr>
        <w:pStyle w:val="2"/>
        <w:spacing w:before="22" w:line="373" w:lineRule="auto"/>
        <w:rPr>
          <w:rFonts w:cs="Arial"/>
          <w:sz w:val="30"/>
          <w:szCs w:val="30"/>
          <w:lang w:eastAsia="zh-CN"/>
        </w:rPr>
      </w:pPr>
    </w:p>
    <w:sectPr>
      <w:headerReference r:id="rId3" w:type="default"/>
      <w:footerReference r:id="rId4" w:type="default"/>
      <w:pgSz w:w="16840" w:h="11900" w:orient="landscape"/>
      <w:pgMar w:top="1629" w:right="1431" w:bottom="1457" w:left="1207" w:header="0" w:footer="818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76F77C">
    <w:pPr>
      <w:spacing w:line="233" w:lineRule="auto"/>
      <w:ind w:left="7810"/>
      <w:rPr>
        <w:rFonts w:ascii="宋体" w:hAnsi="宋体" w:cs="宋体"/>
        <w:sz w:val="30"/>
        <w:szCs w:val="3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33B3EC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bordersDoNotSurroundHeader w:val="1"/>
  <w:bordersDoNotSurroundFooter w:val="1"/>
  <w:documentProtection w:enforcement="0"/>
  <w:defaultTabStop w:val="420"/>
  <w:doNotHyphenateCaps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ulTrailSpac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0CD"/>
    <w:rsid w:val="0008506C"/>
    <w:rsid w:val="0010711C"/>
    <w:rsid w:val="00147A75"/>
    <w:rsid w:val="0016666E"/>
    <w:rsid w:val="00264545"/>
    <w:rsid w:val="003F133B"/>
    <w:rsid w:val="004C5558"/>
    <w:rsid w:val="005370AD"/>
    <w:rsid w:val="006C7C8B"/>
    <w:rsid w:val="00715DA4"/>
    <w:rsid w:val="00793BD3"/>
    <w:rsid w:val="007E6758"/>
    <w:rsid w:val="00862362"/>
    <w:rsid w:val="008F03FF"/>
    <w:rsid w:val="009533FC"/>
    <w:rsid w:val="009D7D69"/>
    <w:rsid w:val="00AF18CB"/>
    <w:rsid w:val="00B50C0C"/>
    <w:rsid w:val="00B70F70"/>
    <w:rsid w:val="00B71E55"/>
    <w:rsid w:val="00B94895"/>
    <w:rsid w:val="00BC7E82"/>
    <w:rsid w:val="00C50969"/>
    <w:rsid w:val="00C740A8"/>
    <w:rsid w:val="00D81FB0"/>
    <w:rsid w:val="00DF63B2"/>
    <w:rsid w:val="00E12BD5"/>
    <w:rsid w:val="00EB0E05"/>
    <w:rsid w:val="00EE30CD"/>
    <w:rsid w:val="00F07646"/>
    <w:rsid w:val="361D4060"/>
    <w:rsid w:val="38F91CE3"/>
    <w:rsid w:val="4B2952EA"/>
    <w:rsid w:val="61B04C92"/>
    <w:rsid w:val="664E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宋体" w:cs="Arial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99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6"/>
    <w:semiHidden/>
    <w:qFormat/>
    <w:uiPriority w:val="99"/>
    <w:rPr>
      <w:rFonts w:ascii="仿宋" w:hAnsi="仿宋" w:eastAsia="仿宋" w:cs="仿宋"/>
      <w:sz w:val="31"/>
      <w:szCs w:val="31"/>
    </w:rPr>
  </w:style>
  <w:style w:type="paragraph" w:styleId="3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Body Text Char"/>
    <w:basedOn w:val="5"/>
    <w:link w:val="2"/>
    <w:semiHidden/>
    <w:qFormat/>
    <w:locked/>
    <w:uiPriority w:val="99"/>
    <w:rPr>
      <w:color w:val="000000"/>
      <w:kern w:val="0"/>
      <w:sz w:val="21"/>
      <w:szCs w:val="21"/>
      <w:lang w:eastAsia="en-US"/>
    </w:rPr>
  </w:style>
  <w:style w:type="paragraph" w:customStyle="1" w:styleId="7">
    <w:name w:val="Table Text"/>
    <w:basedOn w:val="1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gfsd</Company>
  <Pages>1</Pages>
  <Words>196</Words>
  <Characters>201</Characters>
  <Lines>0</Lines>
  <Paragraphs>0</Paragraphs>
  <TotalTime>0</TotalTime>
  <ScaleCrop>false</ScaleCrop>
  <LinksUpToDate>false</LinksUpToDate>
  <CharactersWithSpaces>207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2025-06-16T08:48:00Z</dcterms:created>
  <dc:creator>ghsr</dc:creator>
  <cp:lastModifiedBy>俞燕</cp:lastModifiedBy>
  <dcterms:modified xsi:type="dcterms:W3CDTF">2025-08-21T03:08:43Z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UsrData">
    <vt:lpwstr>684f69cbaa48c8001f39cc16wl</vt:lpwstr>
  </property>
  <property fmtid="{D5CDD505-2E9C-101B-9397-08002B2CF9AE}" pid="4" name="KSOTemplateDocerSaveRecord">
    <vt:lpwstr>eyJoZGlkIjoiNTVlODE2NjY0MjM4ZWMyNzhjZDE5NjFiMDFiOTBlNTIifQ==</vt:lpwstr>
  </property>
  <property fmtid="{D5CDD505-2E9C-101B-9397-08002B2CF9AE}" pid="5" name="KSOProductBuildVer">
    <vt:lpwstr>2052-12.1.0.21915</vt:lpwstr>
  </property>
  <property fmtid="{D5CDD505-2E9C-101B-9397-08002B2CF9AE}" pid="6" name="ICV">
    <vt:lpwstr>94EB5A86A3344991B1637C6E5F65C936_13</vt:lpwstr>
  </property>
</Properties>
</file>