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4D8C07">
      <w:pPr>
        <w:jc w:val="center"/>
        <w:rPr>
          <w:rFonts w:hint="eastAsia" w:ascii="方正小标宋简体" w:hAnsi="方正小标宋简体" w:eastAsia="方正小标宋简体" w:cs="方正小标宋简体"/>
          <w:sz w:val="36"/>
          <w:szCs w:val="36"/>
          <w:lang w:val="en-US" w:eastAsia="zh-CN"/>
        </w:rPr>
      </w:pPr>
      <w:r>
        <w:rPr>
          <w:rFonts w:hint="eastAsia" w:ascii="方正小标宋简体" w:hAnsi="方正小标宋简体" w:eastAsia="方正小标宋简体" w:cs="方正小标宋简体"/>
          <w:sz w:val="36"/>
          <w:szCs w:val="36"/>
          <w:lang w:val="en-US" w:eastAsia="zh-CN"/>
        </w:rPr>
        <w:t>真空脱气机采购需求</w:t>
      </w:r>
    </w:p>
    <w:p w14:paraId="2B810194">
      <w:pPr>
        <w:rPr>
          <w:rFonts w:hint="eastAsia"/>
          <w:sz w:val="21"/>
          <w:szCs w:val="21"/>
        </w:rPr>
      </w:pPr>
    </w:p>
    <w:p w14:paraId="21940450">
      <w:pPr>
        <w:rPr>
          <w:rFonts w:hint="eastAsia"/>
          <w:sz w:val="21"/>
          <w:szCs w:val="21"/>
        </w:rPr>
      </w:pPr>
    </w:p>
    <w:p w14:paraId="3EA1818B">
      <w:pPr>
        <w:keepNext w:val="0"/>
        <w:keepLines w:val="0"/>
        <w:pageBreakBefore w:val="0"/>
        <w:widowControl w:val="0"/>
        <w:numPr>
          <w:ilvl w:val="0"/>
          <w:numId w:val="1"/>
        </w:numPr>
        <w:kinsoku/>
        <w:wordWrap/>
        <w:overflowPunct/>
        <w:topLinePunct w:val="0"/>
        <w:autoSpaceDE/>
        <w:autoSpaceDN/>
        <w:bidi w:val="0"/>
        <w:adjustRightInd w:val="0"/>
        <w:snapToGrid w:val="0"/>
        <w:spacing w:line="440" w:lineRule="exact"/>
        <w:ind w:firstLine="422" w:firstLineChars="200"/>
        <w:textAlignment w:val="auto"/>
        <w:rPr>
          <w:rFonts w:hint="eastAsia" w:ascii="宋体" w:hAnsi="宋体" w:eastAsia="宋体" w:cs="宋体"/>
          <w:b/>
          <w:bCs/>
          <w:szCs w:val="21"/>
          <w:lang w:val="en-US" w:eastAsia="zh-CN"/>
        </w:rPr>
      </w:pPr>
      <w:r>
        <w:rPr>
          <w:rFonts w:hint="eastAsia" w:ascii="宋体" w:hAnsi="宋体" w:eastAsia="宋体" w:cs="宋体"/>
          <w:b/>
          <w:bCs/>
          <w:szCs w:val="21"/>
          <w:lang w:val="en-US" w:eastAsia="zh-CN"/>
        </w:rPr>
        <w:t>标的信息</w:t>
      </w:r>
    </w:p>
    <w:p w14:paraId="58B60B69">
      <w:pPr>
        <w:keepNext w:val="0"/>
        <w:keepLines w:val="0"/>
        <w:pageBreakBefore w:val="0"/>
        <w:widowControl w:val="0"/>
        <w:numPr>
          <w:numId w:val="0"/>
        </w:numPr>
        <w:kinsoku/>
        <w:wordWrap/>
        <w:overflowPunct/>
        <w:topLinePunct w:val="0"/>
        <w:autoSpaceDE/>
        <w:autoSpaceDN/>
        <w:bidi w:val="0"/>
        <w:adjustRightInd w:val="0"/>
        <w:snapToGrid w:val="0"/>
        <w:spacing w:line="440" w:lineRule="exact"/>
        <w:ind w:firstLine="420" w:firstLineChars="200"/>
        <w:textAlignment w:val="auto"/>
        <w:rPr>
          <w:rFonts w:hint="default" w:ascii="宋体" w:hAnsi="宋体" w:eastAsia="宋体" w:cs="宋体"/>
          <w:b w:val="0"/>
          <w:bCs w:val="0"/>
          <w:szCs w:val="21"/>
          <w:lang w:val="en-US" w:eastAsia="zh-CN"/>
        </w:rPr>
      </w:pPr>
      <w:r>
        <w:rPr>
          <w:rFonts w:hint="eastAsia" w:ascii="宋体" w:hAnsi="宋体" w:eastAsia="宋体" w:cs="宋体"/>
          <w:b w:val="0"/>
          <w:bCs w:val="0"/>
          <w:szCs w:val="21"/>
          <w:lang w:val="en-US" w:eastAsia="zh-CN"/>
        </w:rPr>
        <w:t>真空脱气机1台。</w:t>
      </w:r>
    </w:p>
    <w:p w14:paraId="3B7780A8">
      <w:pPr>
        <w:keepNext w:val="0"/>
        <w:keepLines w:val="0"/>
        <w:pageBreakBefore w:val="0"/>
        <w:widowControl w:val="0"/>
        <w:kinsoku/>
        <w:wordWrap/>
        <w:overflowPunct/>
        <w:topLinePunct w:val="0"/>
        <w:autoSpaceDE/>
        <w:autoSpaceDN/>
        <w:bidi w:val="0"/>
        <w:adjustRightInd w:val="0"/>
        <w:snapToGrid w:val="0"/>
        <w:spacing w:line="440" w:lineRule="exact"/>
        <w:ind w:firstLine="422" w:firstLineChars="200"/>
        <w:textAlignment w:val="auto"/>
        <w:rPr>
          <w:rFonts w:hint="eastAsia" w:ascii="宋体" w:hAnsi="宋体" w:eastAsia="宋体" w:cs="宋体"/>
          <w:b/>
          <w:bCs/>
          <w:szCs w:val="21"/>
          <w:lang w:val="en-US" w:eastAsia="zh-CN"/>
        </w:rPr>
      </w:pPr>
      <w:r>
        <w:rPr>
          <w:rFonts w:hint="eastAsia" w:ascii="宋体" w:hAnsi="宋体" w:eastAsia="宋体" w:cs="宋体"/>
          <w:b/>
          <w:bCs/>
          <w:szCs w:val="21"/>
          <w:lang w:val="en-US" w:eastAsia="zh-CN"/>
        </w:rPr>
        <w:t>二、用途</w:t>
      </w:r>
    </w:p>
    <w:p w14:paraId="182B369B">
      <w:pPr>
        <w:keepNext w:val="0"/>
        <w:keepLines w:val="0"/>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hint="eastAsia" w:ascii="宋体" w:hAnsi="宋体" w:eastAsia="宋体" w:cs="宋体"/>
          <w:szCs w:val="21"/>
          <w:lang w:eastAsia="zh-CN"/>
        </w:rPr>
      </w:pPr>
      <w:r>
        <w:rPr>
          <w:rFonts w:hint="eastAsia" w:ascii="宋体" w:hAnsi="宋体" w:eastAsia="宋体" w:cs="宋体"/>
          <w:szCs w:val="21"/>
        </w:rPr>
        <w:t>采用加热、循环、抽真空三法合一对蒸馏水、去离子水进行脱气</w:t>
      </w:r>
      <w:r>
        <w:rPr>
          <w:rFonts w:hint="eastAsia" w:ascii="宋体" w:hAnsi="宋体" w:eastAsia="宋体" w:cs="宋体"/>
          <w:szCs w:val="21"/>
          <w:lang w:eastAsia="zh-CN"/>
        </w:rPr>
        <w:t>。</w:t>
      </w:r>
      <w:r>
        <w:rPr>
          <w:rFonts w:hint="eastAsia" w:ascii="宋体" w:hAnsi="宋体" w:eastAsia="宋体" w:cs="宋体"/>
          <w:szCs w:val="21"/>
        </w:rPr>
        <w:t>配合溶出</w:t>
      </w:r>
      <w:r>
        <w:rPr>
          <w:rFonts w:hint="eastAsia" w:ascii="宋体" w:hAnsi="宋体" w:eastAsia="宋体" w:cs="宋体"/>
          <w:szCs w:val="21"/>
          <w:lang w:val="en-US" w:eastAsia="zh-CN"/>
        </w:rPr>
        <w:t>度测定</w:t>
      </w:r>
      <w:r>
        <w:rPr>
          <w:rFonts w:hint="eastAsia" w:ascii="宋体" w:hAnsi="宋体" w:eastAsia="宋体" w:cs="宋体"/>
          <w:szCs w:val="21"/>
        </w:rPr>
        <w:t>仪使用</w:t>
      </w:r>
      <w:r>
        <w:rPr>
          <w:rFonts w:hint="eastAsia" w:ascii="宋体" w:hAnsi="宋体" w:eastAsia="宋体" w:cs="宋体"/>
          <w:szCs w:val="21"/>
          <w:lang w:eastAsia="zh-CN"/>
        </w:rPr>
        <w:t>。</w:t>
      </w:r>
    </w:p>
    <w:p w14:paraId="31CFB70F">
      <w:pPr>
        <w:keepNext w:val="0"/>
        <w:keepLines w:val="0"/>
        <w:pageBreakBefore w:val="0"/>
        <w:widowControl w:val="0"/>
        <w:kinsoku/>
        <w:wordWrap/>
        <w:overflowPunct/>
        <w:topLinePunct w:val="0"/>
        <w:autoSpaceDE/>
        <w:autoSpaceDN/>
        <w:bidi w:val="0"/>
        <w:spacing w:line="440" w:lineRule="exact"/>
        <w:ind w:firstLine="422" w:firstLineChars="200"/>
        <w:textAlignment w:val="auto"/>
        <w:rPr>
          <w:rFonts w:hint="eastAsia" w:ascii="宋体" w:hAnsi="宋体" w:eastAsia="宋体" w:cs="宋体"/>
          <w:b/>
          <w:bCs/>
          <w:szCs w:val="21"/>
        </w:rPr>
      </w:pPr>
      <w:r>
        <w:rPr>
          <w:rFonts w:hint="eastAsia" w:ascii="宋体" w:hAnsi="宋体" w:eastAsia="宋体" w:cs="宋体"/>
          <w:b/>
          <w:bCs/>
          <w:szCs w:val="21"/>
          <w:lang w:val="en-US" w:eastAsia="zh-CN"/>
        </w:rPr>
        <w:t>三、技术指标</w:t>
      </w:r>
    </w:p>
    <w:p w14:paraId="6D661588">
      <w:pPr>
        <w:keepNext w:val="0"/>
        <w:keepLines w:val="0"/>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hint="eastAsia" w:ascii="宋体" w:hAnsi="宋体" w:eastAsia="宋体" w:cs="宋体"/>
          <w:szCs w:val="21"/>
        </w:rPr>
      </w:pPr>
      <w:r>
        <w:rPr>
          <w:rFonts w:hint="eastAsia" w:ascii="宋体" w:hAnsi="宋体" w:eastAsia="宋体" w:cs="宋体"/>
          <w:szCs w:val="21"/>
          <w:lang w:val="en-US" w:eastAsia="zh-CN"/>
        </w:rPr>
        <w:t>1、</w:t>
      </w:r>
      <w:r>
        <w:rPr>
          <w:rFonts w:hint="eastAsia" w:ascii="宋体" w:hAnsi="宋体" w:eastAsia="宋体" w:cs="宋体"/>
          <w:szCs w:val="21"/>
        </w:rPr>
        <w:t>温度控制范围：37℃～45℃</w:t>
      </w:r>
      <w:bookmarkStart w:id="11" w:name="_GoBack"/>
      <w:bookmarkEnd w:id="11"/>
    </w:p>
    <w:p w14:paraId="54B7FD5A">
      <w:pPr>
        <w:keepNext w:val="0"/>
        <w:keepLines w:val="0"/>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分辨率：</w:t>
      </w:r>
      <w:r>
        <w:rPr>
          <w:rFonts w:hint="eastAsia" w:ascii="宋体" w:hAnsi="宋体" w:eastAsia="宋体" w:cs="宋体"/>
          <w:szCs w:val="21"/>
          <w:lang w:val="en-US" w:eastAsia="zh-CN"/>
        </w:rPr>
        <w:t>≤</w:t>
      </w:r>
      <w:r>
        <w:rPr>
          <w:rFonts w:hint="eastAsia" w:ascii="宋体" w:hAnsi="宋体" w:eastAsia="宋体" w:cs="宋体"/>
          <w:szCs w:val="21"/>
        </w:rPr>
        <w:t>0.1℃</w:t>
      </w:r>
    </w:p>
    <w:p w14:paraId="00BE4255">
      <w:pPr>
        <w:keepNext w:val="0"/>
        <w:keepLines w:val="0"/>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hint="eastAsia"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控温精度：±0.5℃</w:t>
      </w:r>
    </w:p>
    <w:p w14:paraId="66B947C7">
      <w:pPr>
        <w:keepNext w:val="0"/>
        <w:keepLines w:val="0"/>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hint="eastAsia"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真空度控制范围：0.02MPa～0.05 MPa</w:t>
      </w:r>
    </w:p>
    <w:p w14:paraId="3539FAA5">
      <w:pPr>
        <w:keepNext w:val="0"/>
        <w:keepLines w:val="0"/>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hint="eastAsia" w:ascii="宋体" w:hAnsi="宋体" w:eastAsia="宋体" w:cs="宋体"/>
          <w:szCs w:val="21"/>
        </w:rPr>
      </w:pPr>
      <w:r>
        <w:rPr>
          <w:rFonts w:hint="eastAsia" w:ascii="宋体" w:hAnsi="宋体" w:eastAsia="宋体" w:cs="宋体"/>
          <w:szCs w:val="21"/>
          <w:lang w:val="en-US" w:eastAsia="zh-CN"/>
        </w:rPr>
        <w:t>5、</w:t>
      </w:r>
      <w:r>
        <w:rPr>
          <w:rFonts w:hint="eastAsia" w:ascii="宋体" w:hAnsi="宋体" w:eastAsia="宋体" w:cs="宋体"/>
          <w:szCs w:val="21"/>
        </w:rPr>
        <w:t>分辨率：</w:t>
      </w:r>
      <w:r>
        <w:rPr>
          <w:rFonts w:hint="eastAsia" w:ascii="宋体" w:hAnsi="宋体" w:eastAsia="宋体" w:cs="宋体"/>
          <w:szCs w:val="21"/>
          <w:lang w:val="en-US" w:eastAsia="zh-CN"/>
        </w:rPr>
        <w:t>≤</w:t>
      </w:r>
      <w:r>
        <w:rPr>
          <w:rFonts w:hint="eastAsia" w:ascii="宋体" w:hAnsi="宋体" w:eastAsia="宋体" w:cs="宋体"/>
          <w:szCs w:val="21"/>
        </w:rPr>
        <w:t>0.01 MPa</w:t>
      </w:r>
    </w:p>
    <w:p w14:paraId="12AF3CF6">
      <w:pPr>
        <w:keepNext w:val="0"/>
        <w:keepLines w:val="0"/>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hint="eastAsia"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处理溶液体积：7升或21升  </w:t>
      </w:r>
    </w:p>
    <w:p w14:paraId="08F12C23">
      <w:pPr>
        <w:keepNext w:val="0"/>
        <w:keepLines w:val="0"/>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hint="eastAsia" w:ascii="宋体" w:hAnsi="宋体" w:eastAsia="宋体" w:cs="宋体"/>
          <w:szCs w:val="21"/>
        </w:rPr>
      </w:pPr>
      <w:r>
        <w:rPr>
          <w:rFonts w:hint="eastAsia" w:ascii="宋体" w:hAnsi="宋体" w:eastAsia="宋体" w:cs="宋体"/>
          <w:szCs w:val="21"/>
          <w:lang w:val="en-US" w:eastAsia="zh-CN"/>
        </w:rPr>
        <w:t>7、</w:t>
      </w:r>
      <w:r>
        <w:rPr>
          <w:rFonts w:hint="eastAsia" w:ascii="宋体" w:hAnsi="宋体" w:eastAsia="宋体" w:cs="宋体"/>
          <w:szCs w:val="21"/>
        </w:rPr>
        <w:t>加热功率：</w:t>
      </w:r>
      <w:r>
        <w:rPr>
          <w:rFonts w:hint="eastAsia" w:ascii="宋体" w:hAnsi="宋体" w:eastAsia="宋体" w:cs="宋体"/>
          <w:szCs w:val="21"/>
          <w:lang w:val="en-US" w:eastAsia="zh-CN"/>
        </w:rPr>
        <w:t>≥</w:t>
      </w:r>
      <w:r>
        <w:rPr>
          <w:rFonts w:hint="eastAsia" w:ascii="宋体" w:hAnsi="宋体" w:eastAsia="宋体" w:cs="宋体"/>
          <w:szCs w:val="21"/>
        </w:rPr>
        <w:t>1500W</w:t>
      </w:r>
    </w:p>
    <w:p w14:paraId="13A5F8DE">
      <w:pPr>
        <w:keepNext w:val="0"/>
        <w:keepLines w:val="0"/>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hint="eastAsia" w:ascii="宋体" w:hAnsi="宋体" w:eastAsia="宋体" w:cs="宋体"/>
          <w:szCs w:val="21"/>
        </w:rPr>
      </w:pPr>
      <w:r>
        <w:rPr>
          <w:rFonts w:hint="eastAsia" w:ascii="宋体" w:hAnsi="宋体" w:eastAsia="宋体" w:cs="宋体"/>
          <w:szCs w:val="21"/>
          <w:lang w:val="en-US" w:eastAsia="zh-CN"/>
        </w:rPr>
        <w:t>8、可</w:t>
      </w:r>
      <w:r>
        <w:rPr>
          <w:rFonts w:hint="eastAsia" w:ascii="宋体" w:hAnsi="宋体" w:eastAsia="宋体" w:cs="宋体"/>
          <w:szCs w:val="21"/>
        </w:rPr>
        <w:t>一键实现进液、加热、搅拌、脱气功能</w:t>
      </w:r>
    </w:p>
    <w:p w14:paraId="299C86B9">
      <w:pPr>
        <w:keepNext w:val="0"/>
        <w:keepLines w:val="0"/>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hint="eastAsia" w:ascii="宋体" w:hAnsi="宋体" w:eastAsia="宋体" w:cs="宋体"/>
          <w:szCs w:val="21"/>
        </w:rPr>
      </w:pPr>
      <w:r>
        <w:rPr>
          <w:rFonts w:hint="eastAsia" w:ascii="宋体" w:hAnsi="宋体" w:eastAsia="宋体" w:cs="宋体"/>
          <w:szCs w:val="21"/>
          <w:lang w:val="en-US" w:eastAsia="zh-CN"/>
        </w:rPr>
        <w:t>9、</w:t>
      </w:r>
      <w:r>
        <w:rPr>
          <w:rFonts w:hint="eastAsia" w:ascii="宋体" w:hAnsi="宋体" w:eastAsia="宋体" w:cs="宋体"/>
          <w:szCs w:val="21"/>
        </w:rPr>
        <w:t>具有故障自诊断功能，对于仪器运行中出现的异常现象自动提示</w:t>
      </w:r>
    </w:p>
    <w:p w14:paraId="1AD39DC9">
      <w:pPr>
        <w:keepNext w:val="0"/>
        <w:keepLines w:val="0"/>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hint="eastAsia" w:ascii="宋体" w:hAnsi="宋体" w:eastAsia="宋体" w:cs="宋体"/>
          <w:szCs w:val="21"/>
        </w:rPr>
      </w:pPr>
      <w:r>
        <w:rPr>
          <w:rFonts w:hint="eastAsia" w:ascii="宋体" w:hAnsi="宋体" w:eastAsia="宋体" w:cs="宋体"/>
          <w:szCs w:val="21"/>
          <w:lang w:val="en-US" w:eastAsia="zh-CN"/>
        </w:rPr>
        <w:t>10、</w:t>
      </w:r>
      <w:r>
        <w:rPr>
          <w:rFonts w:hint="eastAsia" w:ascii="宋体" w:hAnsi="宋体" w:eastAsia="宋体" w:cs="宋体"/>
          <w:szCs w:val="21"/>
        </w:rPr>
        <w:t>具有记忆存储功能，可保存上一次的设置结果</w:t>
      </w:r>
    </w:p>
    <w:p w14:paraId="0FFE0C3D">
      <w:pPr>
        <w:keepNext w:val="0"/>
        <w:keepLines w:val="0"/>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hint="default" w:ascii="宋体" w:hAnsi="宋体" w:eastAsia="宋体" w:cs="宋体"/>
          <w:szCs w:val="21"/>
          <w:lang w:val="en-US" w:eastAsia="zh-CN"/>
        </w:rPr>
      </w:pPr>
      <w:r>
        <w:rPr>
          <w:rFonts w:hint="eastAsia" w:ascii="宋体" w:hAnsi="宋体" w:eastAsia="宋体" w:cs="宋体"/>
          <w:szCs w:val="21"/>
          <w:lang w:val="en-US" w:eastAsia="zh-CN"/>
        </w:rPr>
        <w:t>11、</w:t>
      </w:r>
      <w:r>
        <w:rPr>
          <w:rFonts w:hint="eastAsia" w:ascii="宋体" w:hAnsi="宋体" w:eastAsia="宋体" w:cs="宋体"/>
          <w:szCs w:val="21"/>
        </w:rPr>
        <w:t>具有校准功能</w:t>
      </w:r>
    </w:p>
    <w:p w14:paraId="5A8F085A">
      <w:pPr>
        <w:keepNext w:val="0"/>
        <w:keepLines w:val="0"/>
        <w:pageBreakBefore w:val="0"/>
        <w:widowControl w:val="0"/>
        <w:kinsoku/>
        <w:wordWrap/>
        <w:overflowPunct/>
        <w:topLinePunct w:val="0"/>
        <w:autoSpaceDE/>
        <w:autoSpaceDN/>
        <w:bidi w:val="0"/>
        <w:adjustRightInd w:val="0"/>
        <w:snapToGrid w:val="0"/>
        <w:spacing w:line="440" w:lineRule="exact"/>
        <w:ind w:firstLine="422" w:firstLineChars="200"/>
        <w:textAlignment w:val="auto"/>
        <w:rPr>
          <w:rFonts w:ascii="宋体" w:hAnsi="宋体" w:eastAsia="宋体" w:cs="宋体"/>
          <w:b/>
          <w:bCs/>
          <w:szCs w:val="21"/>
        </w:rPr>
      </w:pPr>
      <w:r>
        <w:rPr>
          <w:rFonts w:hint="eastAsia" w:ascii="宋体" w:hAnsi="宋体" w:eastAsia="宋体" w:cs="宋体"/>
          <w:b/>
          <w:bCs/>
          <w:szCs w:val="21"/>
          <w:lang w:val="en-US" w:eastAsia="zh-CN"/>
        </w:rPr>
        <w:t>四</w:t>
      </w:r>
      <w:r>
        <w:rPr>
          <w:rFonts w:hint="eastAsia" w:ascii="宋体" w:hAnsi="宋体" w:eastAsia="宋体" w:cs="宋体"/>
          <w:b/>
          <w:bCs/>
          <w:szCs w:val="21"/>
        </w:rPr>
        <w:t>、备品备件及专用工具</w:t>
      </w:r>
    </w:p>
    <w:p w14:paraId="7CFC490C">
      <w:pPr>
        <w:keepNext w:val="0"/>
        <w:keepLines w:val="0"/>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ascii="宋体" w:hAnsi="宋体" w:eastAsia="宋体" w:cs="宋体"/>
          <w:szCs w:val="21"/>
        </w:rPr>
      </w:pPr>
      <w:bookmarkStart w:id="0" w:name="_Toc455587093"/>
      <w:bookmarkStart w:id="1" w:name="_Toc455587277"/>
      <w:bookmarkStart w:id="2" w:name="_Toc445554752"/>
      <w:r>
        <w:rPr>
          <w:rFonts w:hint="eastAsia" w:ascii="宋体" w:hAnsi="宋体" w:eastAsia="宋体" w:cs="宋体"/>
          <w:szCs w:val="21"/>
        </w:rPr>
        <w:t>1、备品备件：中标人提供能够满足质量保证期内的设备维修要求的备品备件，备品备件应是新品。</w:t>
      </w:r>
    </w:p>
    <w:p w14:paraId="102F150F">
      <w:pPr>
        <w:keepNext w:val="0"/>
        <w:keepLines w:val="0"/>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ascii="宋体" w:hAnsi="宋体" w:eastAsia="宋体" w:cs="宋体"/>
          <w:szCs w:val="21"/>
        </w:rPr>
      </w:pPr>
      <w:r>
        <w:rPr>
          <w:rFonts w:hint="eastAsia" w:ascii="宋体" w:hAnsi="宋体" w:eastAsia="宋体" w:cs="宋体"/>
          <w:szCs w:val="21"/>
        </w:rPr>
        <w:t>2、专用工具：中标人提供设备安装、调试、验收、维修、保养所必要的专用工具、仪器、仪表等工具。</w:t>
      </w:r>
    </w:p>
    <w:bookmarkEnd w:id="0"/>
    <w:bookmarkEnd w:id="1"/>
    <w:bookmarkEnd w:id="2"/>
    <w:p w14:paraId="6FAC17E2">
      <w:pPr>
        <w:keepNext w:val="0"/>
        <w:keepLines w:val="0"/>
        <w:pageBreakBefore w:val="0"/>
        <w:widowControl w:val="0"/>
        <w:kinsoku/>
        <w:wordWrap/>
        <w:overflowPunct/>
        <w:topLinePunct w:val="0"/>
        <w:autoSpaceDE/>
        <w:autoSpaceDN/>
        <w:bidi w:val="0"/>
        <w:adjustRightInd w:val="0"/>
        <w:snapToGrid w:val="0"/>
        <w:spacing w:line="440" w:lineRule="exact"/>
        <w:ind w:firstLine="422" w:firstLineChars="200"/>
        <w:textAlignment w:val="auto"/>
        <w:rPr>
          <w:rFonts w:ascii="宋体" w:hAnsi="宋体" w:eastAsia="宋体" w:cs="宋体"/>
          <w:b/>
          <w:bCs/>
          <w:szCs w:val="21"/>
        </w:rPr>
      </w:pPr>
      <w:bookmarkStart w:id="3" w:name="_Toc532199625"/>
      <w:bookmarkStart w:id="4" w:name="_Toc445554753"/>
      <w:bookmarkStart w:id="5" w:name="_Toc455587278"/>
      <w:bookmarkStart w:id="6" w:name="_Toc455587094"/>
      <w:r>
        <w:rPr>
          <w:rFonts w:hint="eastAsia" w:ascii="宋体" w:hAnsi="宋体" w:eastAsia="宋体" w:cs="宋体"/>
          <w:b/>
          <w:bCs/>
          <w:szCs w:val="21"/>
          <w:lang w:val="en-US" w:eastAsia="zh-CN"/>
        </w:rPr>
        <w:t>五</w:t>
      </w:r>
      <w:r>
        <w:rPr>
          <w:rFonts w:hint="eastAsia" w:ascii="宋体" w:hAnsi="宋体" w:eastAsia="宋体" w:cs="宋体"/>
          <w:b/>
          <w:bCs/>
          <w:szCs w:val="21"/>
        </w:rPr>
        <w:t>、安装调试、验收试验及质量保证</w:t>
      </w:r>
      <w:bookmarkEnd w:id="3"/>
    </w:p>
    <w:p w14:paraId="3D8E785D">
      <w:pPr>
        <w:keepNext w:val="0"/>
        <w:keepLines w:val="0"/>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ascii="宋体" w:hAnsi="宋体" w:eastAsia="宋体" w:cs="宋体"/>
          <w:szCs w:val="21"/>
        </w:rPr>
      </w:pPr>
      <w:r>
        <w:rPr>
          <w:rFonts w:hint="eastAsia" w:ascii="宋体" w:hAnsi="宋体" w:eastAsia="宋体" w:cs="宋体"/>
          <w:szCs w:val="21"/>
        </w:rPr>
        <w:t>1、中标人在设备安装地点负责安装、调试。</w:t>
      </w:r>
    </w:p>
    <w:p w14:paraId="7F3CE29A">
      <w:pPr>
        <w:keepNext w:val="0"/>
        <w:keepLines w:val="0"/>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ascii="宋体" w:hAnsi="宋体" w:eastAsia="宋体" w:cs="宋体"/>
          <w:szCs w:val="21"/>
        </w:rPr>
      </w:pPr>
      <w:r>
        <w:rPr>
          <w:rFonts w:hint="eastAsia" w:ascii="宋体" w:hAnsi="宋体" w:eastAsia="宋体" w:cs="宋体"/>
          <w:szCs w:val="21"/>
        </w:rPr>
        <w:t>2、具体设备验收标准和程序按采购人要求执行，下列验收程序可参照执行：</w:t>
      </w:r>
    </w:p>
    <w:p w14:paraId="50F5AC0C">
      <w:pPr>
        <w:keepNext w:val="0"/>
        <w:keepLines w:val="0"/>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1</w:t>
      </w:r>
      <w:r>
        <w:rPr>
          <w:rFonts w:hint="eastAsia" w:ascii="宋体" w:hAnsi="宋体" w:eastAsia="宋体" w:cs="宋体"/>
          <w:szCs w:val="21"/>
        </w:rPr>
        <w:t>中标人应根据采购人的</w:t>
      </w:r>
      <w:r>
        <w:rPr>
          <w:rFonts w:hint="eastAsia" w:ascii="宋体" w:hAnsi="宋体" w:eastAsia="宋体" w:cs="宋体"/>
          <w:szCs w:val="21"/>
          <w:lang w:val="en-US" w:eastAsia="zh-CN"/>
        </w:rPr>
        <w:t>采购需求</w:t>
      </w:r>
      <w:r>
        <w:rPr>
          <w:rFonts w:hint="eastAsia" w:ascii="宋体" w:hAnsi="宋体" w:eastAsia="宋体" w:cs="宋体"/>
          <w:szCs w:val="21"/>
        </w:rPr>
        <w:t>提供相应的产品。由中标人所提供的设备部件间的连线和插接件均应视为设备内部器件，包含在相应的设备之中。</w:t>
      </w:r>
    </w:p>
    <w:p w14:paraId="0439FF77">
      <w:pPr>
        <w:keepNext w:val="0"/>
        <w:keepLines w:val="0"/>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2</w:t>
      </w:r>
      <w:r>
        <w:rPr>
          <w:rFonts w:hint="eastAsia" w:ascii="宋体" w:hAnsi="宋体" w:eastAsia="宋体" w:cs="宋体"/>
          <w:szCs w:val="21"/>
        </w:rPr>
        <w:t xml:space="preserve"> 在系统安装、调试结束后，采购人依据合同与合同有关条件、本招标文件的技术规范、系统配置要求、设备技术文件和系统说明书等要求进行验收测试，对测试中暴露出来的问题，中标人应及时进行整改，系统最终测试完毕经验收合格后，采购人应向中标人签发最终验收证明。</w:t>
      </w:r>
    </w:p>
    <w:p w14:paraId="651C7848">
      <w:pPr>
        <w:keepNext w:val="0"/>
        <w:keepLines w:val="0"/>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3</w:t>
      </w:r>
      <w:r>
        <w:rPr>
          <w:rFonts w:hint="eastAsia" w:ascii="宋体" w:hAnsi="宋体" w:eastAsia="宋体" w:cs="宋体"/>
          <w:szCs w:val="21"/>
        </w:rPr>
        <w:t>货物在验收时，中标人应提供发票、制造厂家出具的产品合格证书、装箱清单等；提供有关货物的保养修理所需的各种随机工具及全部有关技术文件、操作使用说明书、质保书、保修证明、维护手册及技术性指导资料等文件和应由中标人提供的必要文件。</w:t>
      </w:r>
    </w:p>
    <w:p w14:paraId="71AE7CA4">
      <w:pPr>
        <w:keepNext w:val="0"/>
        <w:keepLines w:val="0"/>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4</w:t>
      </w:r>
      <w:r>
        <w:rPr>
          <w:rFonts w:hint="eastAsia" w:ascii="宋体" w:hAnsi="宋体" w:eastAsia="宋体" w:cs="宋体"/>
          <w:szCs w:val="21"/>
        </w:rPr>
        <w:t xml:space="preserve"> 中标人应向采购人提供安装调试过程中的各种文档资料,以便采购人今后能掌握操作和维护方法。</w:t>
      </w:r>
    </w:p>
    <w:p w14:paraId="3EECFACB">
      <w:pPr>
        <w:keepNext w:val="0"/>
        <w:keepLines w:val="0"/>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ascii="宋体" w:hAnsi="宋体" w:eastAsia="宋体" w:cs="宋体"/>
          <w:szCs w:val="21"/>
        </w:rPr>
      </w:pPr>
      <w:r>
        <w:rPr>
          <w:rFonts w:hint="eastAsia" w:ascii="宋体" w:hAnsi="宋体" w:eastAsia="宋体" w:cs="宋体"/>
          <w:szCs w:val="21"/>
        </w:rPr>
        <w:t>3、如设备在验收时有一个或多个指标未能达到要求而属于中标人责任时，则中标人自费采取有效措施，在规定时间内使之达到保证指标。如在规定的时间内仍达不到合格标准时，则中标人应向采购人赔偿。</w:t>
      </w:r>
    </w:p>
    <w:bookmarkEnd w:id="4"/>
    <w:bookmarkEnd w:id="5"/>
    <w:bookmarkEnd w:id="6"/>
    <w:p w14:paraId="03FBBF5F">
      <w:pPr>
        <w:keepNext w:val="0"/>
        <w:keepLines w:val="0"/>
        <w:pageBreakBefore w:val="0"/>
        <w:widowControl w:val="0"/>
        <w:kinsoku/>
        <w:wordWrap/>
        <w:overflowPunct/>
        <w:topLinePunct w:val="0"/>
        <w:autoSpaceDE/>
        <w:autoSpaceDN/>
        <w:bidi w:val="0"/>
        <w:adjustRightInd w:val="0"/>
        <w:snapToGrid w:val="0"/>
        <w:spacing w:line="440" w:lineRule="exact"/>
        <w:ind w:firstLine="422" w:firstLineChars="200"/>
        <w:textAlignment w:val="auto"/>
        <w:rPr>
          <w:rFonts w:ascii="宋体" w:hAnsi="宋体" w:eastAsia="宋体" w:cs="宋体"/>
          <w:b/>
          <w:bCs/>
          <w:szCs w:val="21"/>
        </w:rPr>
      </w:pPr>
      <w:bookmarkStart w:id="7" w:name="_Toc532199627"/>
      <w:bookmarkStart w:id="8" w:name="_Toc455587095"/>
      <w:bookmarkStart w:id="9" w:name="_Toc445554754"/>
      <w:bookmarkStart w:id="10" w:name="_Toc455587279"/>
      <w:r>
        <w:rPr>
          <w:rFonts w:hint="eastAsia" w:ascii="宋体" w:hAnsi="宋体" w:eastAsia="宋体" w:cs="宋体"/>
          <w:b/>
          <w:bCs/>
          <w:szCs w:val="21"/>
          <w:lang w:val="en-US" w:eastAsia="zh-CN"/>
        </w:rPr>
        <w:t>六</w:t>
      </w:r>
      <w:r>
        <w:rPr>
          <w:rFonts w:hint="eastAsia" w:ascii="宋体" w:hAnsi="宋体" w:eastAsia="宋体" w:cs="宋体"/>
          <w:b/>
          <w:bCs/>
          <w:szCs w:val="21"/>
        </w:rPr>
        <w:t>、</w:t>
      </w:r>
      <w:r>
        <w:rPr>
          <w:rFonts w:hint="eastAsia" w:ascii="宋体" w:hAnsi="宋体" w:eastAsia="宋体" w:cs="宋体"/>
          <w:b/>
          <w:bCs/>
          <w:szCs w:val="21"/>
          <w:lang w:val="en-US" w:eastAsia="zh-CN"/>
        </w:rPr>
        <w:t>安装调试及</w:t>
      </w:r>
      <w:r>
        <w:rPr>
          <w:rFonts w:hint="eastAsia" w:ascii="宋体" w:hAnsi="宋体" w:eastAsia="宋体" w:cs="宋体"/>
          <w:b/>
          <w:bCs/>
          <w:szCs w:val="21"/>
        </w:rPr>
        <w:t>技术培训</w:t>
      </w:r>
      <w:bookmarkEnd w:id="7"/>
      <w:bookmarkEnd w:id="8"/>
      <w:bookmarkEnd w:id="9"/>
      <w:bookmarkEnd w:id="10"/>
    </w:p>
    <w:p w14:paraId="6425CADB">
      <w:pPr>
        <w:keepNext w:val="0"/>
        <w:keepLines w:val="0"/>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hint="eastAsia" w:ascii="宋体" w:hAnsi="宋体" w:eastAsia="宋体" w:cs="宋体"/>
          <w:szCs w:val="21"/>
        </w:rPr>
      </w:pPr>
      <w:r>
        <w:rPr>
          <w:rFonts w:hint="eastAsia" w:ascii="宋体" w:hAnsi="宋体" w:eastAsia="宋体" w:cs="宋体"/>
          <w:color w:val="0D0D0D"/>
          <w:szCs w:val="21"/>
          <w:lang w:val="en-US" w:eastAsia="zh-CN"/>
        </w:rPr>
        <w:t>1、中标人免费提供软、硬件设备的现场安装、调试和开通，并保证整个系统的正常运行。</w:t>
      </w:r>
    </w:p>
    <w:p w14:paraId="6CE40EA5">
      <w:pPr>
        <w:keepNext w:val="0"/>
        <w:keepLines w:val="0"/>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为使合同设备能正常安装和运行，由中标人提供相应的技术培训，并免收采购人培训费用。培训的时间、人数、地点等具体内容由买卖双方商定，内容至少包括：设备原理、使用、维护、运行操作、常见故障处理等。</w:t>
      </w:r>
    </w:p>
    <w:p w14:paraId="4AA3CE35">
      <w:pPr>
        <w:keepNext w:val="0"/>
        <w:keepLines w:val="0"/>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ascii="宋体" w:hAnsi="宋体" w:eastAsia="宋体" w:cs="宋体"/>
          <w:szCs w:val="21"/>
        </w:rPr>
      </w:pPr>
      <w:r>
        <w:rPr>
          <w:rFonts w:hint="eastAsia" w:ascii="宋体" w:hAnsi="宋体" w:eastAsia="宋体" w:cs="宋体"/>
          <w:szCs w:val="21"/>
        </w:rPr>
        <w:t>3、采购清单里有特别规定的，以采购清单中的需求为准。</w:t>
      </w:r>
    </w:p>
    <w:p w14:paraId="454B12B0">
      <w:pPr>
        <w:keepNext w:val="0"/>
        <w:keepLines w:val="0"/>
        <w:pageBreakBefore w:val="0"/>
        <w:widowControl w:val="0"/>
        <w:kinsoku/>
        <w:wordWrap/>
        <w:overflowPunct/>
        <w:topLinePunct w:val="0"/>
        <w:autoSpaceDE/>
        <w:autoSpaceDN/>
        <w:bidi w:val="0"/>
        <w:adjustRightInd w:val="0"/>
        <w:snapToGrid w:val="0"/>
        <w:spacing w:line="440" w:lineRule="exact"/>
        <w:ind w:firstLine="422" w:firstLineChars="200"/>
        <w:textAlignment w:val="auto"/>
        <w:rPr>
          <w:rFonts w:ascii="宋体" w:hAnsi="宋体" w:eastAsia="宋体" w:cs="宋体"/>
          <w:b/>
          <w:bCs/>
          <w:szCs w:val="21"/>
        </w:rPr>
      </w:pPr>
      <w:r>
        <w:rPr>
          <w:rFonts w:hint="eastAsia" w:ascii="宋体" w:hAnsi="宋体" w:eastAsia="宋体" w:cs="宋体"/>
          <w:b/>
          <w:bCs/>
          <w:szCs w:val="21"/>
          <w:lang w:val="en-US" w:eastAsia="zh-CN"/>
        </w:rPr>
        <w:t>七</w:t>
      </w:r>
      <w:r>
        <w:rPr>
          <w:rFonts w:hint="eastAsia" w:ascii="宋体" w:hAnsi="宋体" w:eastAsia="宋体" w:cs="宋体"/>
          <w:b/>
          <w:bCs/>
          <w:szCs w:val="21"/>
        </w:rPr>
        <w:t>、质保及售后服务</w:t>
      </w:r>
    </w:p>
    <w:p w14:paraId="4256BE41">
      <w:pPr>
        <w:keepNext w:val="0"/>
        <w:keepLines w:val="0"/>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hint="default" w:ascii="宋体" w:hAnsi="宋体" w:eastAsia="宋体" w:cs="宋体"/>
          <w:szCs w:val="21"/>
          <w:lang w:val="en-US" w:eastAsia="zh-CN"/>
        </w:rPr>
      </w:pPr>
      <w:r>
        <w:rPr>
          <w:rFonts w:hint="eastAsia" w:ascii="宋体" w:hAnsi="宋体" w:eastAsia="宋体" w:cs="宋体"/>
          <w:szCs w:val="21"/>
        </w:rPr>
        <w:t>1、自双方签订《验收报告》起进入质保期</w:t>
      </w:r>
      <w:r>
        <w:rPr>
          <w:rFonts w:hint="eastAsia" w:ascii="宋体" w:hAnsi="宋体" w:eastAsia="宋体" w:cs="宋体"/>
          <w:szCs w:val="21"/>
          <w:lang w:val="en-US" w:eastAsia="zh-CN"/>
        </w:rPr>
        <w:t>。</w:t>
      </w:r>
    </w:p>
    <w:p w14:paraId="7DB27247">
      <w:pPr>
        <w:keepNext w:val="0"/>
        <w:keepLines w:val="0"/>
        <w:pageBreakBefore w:val="0"/>
        <w:widowControl w:val="0"/>
        <w:kinsoku/>
        <w:wordWrap/>
        <w:overflowPunct/>
        <w:topLinePunct w:val="0"/>
        <w:autoSpaceDE/>
        <w:autoSpaceDN/>
        <w:bidi w:val="0"/>
        <w:adjustRightInd w:val="0"/>
        <w:snapToGrid w:val="0"/>
        <w:spacing w:line="440" w:lineRule="exact"/>
        <w:ind w:firstLine="420" w:firstLineChars="200"/>
        <w:textAlignment w:val="auto"/>
      </w:pPr>
      <w:r>
        <w:rPr>
          <w:rFonts w:hint="eastAsia" w:ascii="宋体" w:hAnsi="宋体" w:eastAsia="宋体" w:cs="宋体"/>
          <w:szCs w:val="21"/>
        </w:rPr>
        <w:t>2、在质保期间内，非采购人过失和故意并且在正常使用的情况下发现商品有缺陷，中标人将免费修理或替换该设备；在质保期间内，非采购人过失和故意并且在正常使用的情况下设备发生故障，中标人应及时提供全机免费保修。质保期内，中标人（供应商）免费提供硬件保修服务和软件升级服务。</w:t>
      </w:r>
    </w:p>
    <w:p w14:paraId="27AB366A">
      <w:pPr>
        <w:ind w:firstLine="480" w:firstLineChars="200"/>
        <w:rPr>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B4B0FBFD-5C81-4E4A-9616-D372A63344C7}"/>
  </w:font>
  <w:font w:name="方正小标宋简体">
    <w:panose1 w:val="02010600010101010101"/>
    <w:charset w:val="86"/>
    <w:family w:val="auto"/>
    <w:pitch w:val="default"/>
    <w:sig w:usb0="00000001" w:usb1="080E0000" w:usb2="00000000" w:usb3="00000000" w:csb0="00040000" w:csb1="00000000"/>
    <w:embedRegular r:id="rId2" w:fontKey="{0F4DA4E4-FD6B-4059-BC44-E74D24CF4932}"/>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5D8A49"/>
    <w:multiLevelType w:val="singleLevel"/>
    <w:tmpl w:val="905D8A49"/>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728205F"/>
    <w:rsid w:val="1299198D"/>
    <w:rsid w:val="1728205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1162</Words>
  <Characters>1199</Characters>
  <Lines>0</Lines>
  <Paragraphs>0</Paragraphs>
  <TotalTime>3</TotalTime>
  <ScaleCrop>false</ScaleCrop>
  <LinksUpToDate>false</LinksUpToDate>
  <CharactersWithSpaces>1205</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2025-10-16T01:51:00Z</dcterms:created>
  <dc:creator>黄 sir</dc:creator>
  <cp:lastModifiedBy>黄 sir</cp:lastModifiedBy>
  <dcterms:modified xsi:type="dcterms:W3CDTF">2025-10-16T02:13:42Z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DABD3E0FC65747FB8F642704F8C1E188_11</vt:lpwstr>
  </property>
  <property fmtid="{D5CDD505-2E9C-101B-9397-08002B2CF9AE}" pid="4" name="KSOTemplateDocerSaveRecord">
    <vt:lpwstr>eyJoZGlkIjoiZTc3YmQ0ZDM4MmNlOWQwYWYyMDIyY2UzYzkwZTk0ZmMiLCJ1c2VySWQiOiI0MzQ4NjA3NzcifQ==</vt:lpwstr>
  </property>
</Properties>
</file>