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>
    <v:background id="_x0000_s1025" fillcolor="#FFFFFF"/>
  </w:background>
  <w:body>
    <w:p>
      <w:pPr>
        <w:pStyle w:val="654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54"/>
        <w:pBdr/>
        <w:spacing/>
        <w:ind/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</w:r>
      <w:r>
        <w:rPr>
          <w:rFonts w:hint="eastAsia"/>
          <w:sz w:val="52"/>
          <w:szCs w:val="52"/>
        </w:rPr>
      </w:r>
    </w:p>
    <w:p>
      <w:pPr>
        <w:pStyle w:val="654"/>
        <w:pBdr/>
        <w:spacing/>
        <w:ind/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</w:r>
      <w:r>
        <w:rPr>
          <w:rFonts w:hint="eastAsia"/>
          <w:sz w:val="52"/>
          <w:szCs w:val="52"/>
        </w:rPr>
      </w:r>
    </w:p>
    <w:p>
      <w:pPr>
        <w:pStyle w:val="654"/>
        <w:pBdr/>
        <w:spacing/>
        <w:ind/>
        <w:jc w:val="center"/>
        <w:rPr>
          <w:rFonts w:hint="eastAsia" w:ascii="仿宋_GB2312" w:hAnsi="仿宋_GB2312" w:eastAsia="仿宋_GB2312" w:cs="仿宋_GB2312"/>
          <w:b/>
          <w:color w:val="000000"/>
          <w:sz w:val="52"/>
          <w:szCs w:val="52"/>
        </w:rPr>
      </w:pPr>
      <w:r>
        <w:rPr>
          <w:rFonts w:hint="eastAsia" w:ascii="仿宋_GB2312" w:hAnsi="仿宋_GB2312" w:eastAsia="仿宋_GB2312" w:cs="仿宋_GB2312"/>
          <w:b/>
          <w:color w:val="000000"/>
          <w:sz w:val="52"/>
          <w:szCs w:val="52"/>
        </w:rPr>
        <w:t xml:space="preserve">液化石油气气瓶充装</w:t>
      </w:r>
      <w:r>
        <w:rPr>
          <w:rFonts w:hint="eastAsia" w:ascii="仿宋_GB2312" w:hAnsi="仿宋_GB2312" w:eastAsia="仿宋_GB2312" w:cs="仿宋_GB2312"/>
          <w:b/>
          <w:color w:val="000000"/>
          <w:sz w:val="52"/>
          <w:szCs w:val="52"/>
        </w:rPr>
        <w:t xml:space="preserve">实际操作</w:t>
      </w:r>
      <w:r>
        <w:rPr>
          <w:rFonts w:hint="eastAsia" w:ascii="仿宋_GB2312" w:hAnsi="仿宋_GB2312" w:eastAsia="仿宋_GB2312" w:cs="仿宋_GB2312"/>
          <w:b/>
          <w:color w:val="000000"/>
          <w:sz w:val="52"/>
          <w:szCs w:val="52"/>
        </w:rPr>
        <w:t xml:space="preserve">考核试题</w:t>
      </w:r>
      <w:r>
        <w:rPr>
          <w:rFonts w:hint="eastAsia" w:ascii="仿宋_GB2312" w:hAnsi="仿宋_GB2312" w:eastAsia="仿宋_GB2312" w:cs="仿宋_GB2312"/>
          <w:b/>
          <w:color w:val="000000"/>
          <w:sz w:val="52"/>
          <w:szCs w:val="52"/>
        </w:rPr>
      </w:r>
    </w:p>
    <w:p>
      <w:pPr>
        <w:pStyle w:val="654"/>
        <w:pBdr/>
        <w:spacing/>
        <w:ind/>
        <w:jc w:val="center"/>
        <w:rPr>
          <w:rFonts w:ascii="楷体_GB2312" w:eastAsia="楷体_GB2312"/>
          <w:b/>
          <w:color w:val="000000"/>
          <w:sz w:val="32"/>
          <w:szCs w:val="32"/>
        </w:rPr>
      </w:pPr>
      <w:r>
        <w:rPr>
          <w:rFonts w:hint="eastAsia" w:ascii="楷体_GB2312" w:eastAsia="楷体_GB2312"/>
          <w:b/>
          <w:color w:val="000000"/>
          <w:sz w:val="32"/>
          <w:szCs w:val="32"/>
        </w:rPr>
        <w:t xml:space="preserve">『201</w:t>
      </w:r>
      <w:r>
        <w:rPr>
          <w:rFonts w:ascii="楷体_GB2312" w:eastAsia="楷体_GB2312"/>
          <w:b/>
          <w:color w:val="000000"/>
          <w:sz w:val="32"/>
          <w:szCs w:val="32"/>
        </w:rPr>
        <w:t xml:space="preserve">9</w:t>
      </w:r>
      <w:r>
        <w:rPr>
          <w:rFonts w:hint="eastAsia" w:ascii="楷体_GB2312" w:eastAsia="楷体_GB2312"/>
          <w:b/>
          <w:color w:val="000000"/>
          <w:sz w:val="32"/>
          <w:szCs w:val="32"/>
        </w:rPr>
        <w:t xml:space="preserve">.0</w:t>
      </w:r>
      <w:r>
        <w:rPr>
          <w:rFonts w:ascii="楷体_GB2312" w:eastAsia="楷体_GB2312"/>
          <w:b/>
          <w:color w:val="000000"/>
          <w:sz w:val="32"/>
          <w:szCs w:val="32"/>
        </w:rPr>
        <w:t xml:space="preserve">6</w:t>
      </w:r>
      <w:r>
        <w:rPr>
          <w:rFonts w:hint="eastAsia" w:ascii="楷体_GB2312" w:eastAsia="楷体_GB2312"/>
          <w:b/>
          <w:color w:val="000000"/>
          <w:sz w:val="32"/>
          <w:szCs w:val="32"/>
        </w:rPr>
        <w:t xml:space="preserve">』版</w:t>
      </w:r>
      <w:r>
        <w:rPr>
          <w:rFonts w:ascii="楷体_GB2312" w:eastAsia="楷体_GB2312"/>
          <w:b/>
          <w:color w:val="000000"/>
          <w:sz w:val="32"/>
          <w:szCs w:val="32"/>
        </w:rPr>
      </w:r>
      <w:r>
        <w:rPr>
          <w:rFonts w:ascii="楷体_GB2312" w:eastAsia="楷体_GB2312"/>
          <w:b/>
          <w:color w:val="000000"/>
          <w:sz w:val="32"/>
          <w:szCs w:val="32"/>
        </w:rPr>
      </w:r>
    </w:p>
    <w:p>
      <w:pPr>
        <w:pStyle w:val="654"/>
        <w:pBdr/>
        <w:spacing/>
        <w:ind w:hanging="157" w:left="157"/>
        <w:jc w:val="center"/>
        <w:rPr>
          <w:rFonts w:hint="eastAsia" w:ascii="楷体_GB2312" w:eastAsia="楷体_GB2312"/>
          <w:b/>
          <w:sz w:val="32"/>
          <w:szCs w:val="32"/>
        </w:rPr>
      </w:pPr>
      <w:r>
        <w:rPr>
          <w:rFonts w:hint="eastAsia" w:ascii="楷体_GB2312" w:eastAsia="楷体_GB2312"/>
          <w:b/>
          <w:sz w:val="32"/>
          <w:szCs w:val="32"/>
        </w:rPr>
      </w:r>
      <w:r>
        <w:rPr>
          <w:rFonts w:hint="eastAsia" w:ascii="楷体_GB2312" w:eastAsia="楷体_GB2312"/>
          <w:b/>
          <w:sz w:val="32"/>
          <w:szCs w:val="32"/>
        </w:rPr>
      </w:r>
    </w:p>
    <w:p>
      <w:pPr>
        <w:pStyle w:val="654"/>
        <w:pBdr/>
        <w:spacing/>
        <w:ind/>
        <w:jc w:val="center"/>
        <w:rPr>
          <w:rFonts w:hint="eastAsia" w:ascii="华文行楷" w:eastAsia="华文行楷"/>
          <w:b/>
          <w:sz w:val="36"/>
          <w:szCs w:val="36"/>
        </w:rPr>
      </w:pPr>
      <w:r>
        <w:rPr>
          <w:color w:val="00000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62969" cy="4086225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462969" cy="408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30.16pt;height:321.75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rFonts w:hint="eastAsia" w:ascii="华文行楷" w:eastAsia="华文行楷"/>
          <w:b/>
          <w:sz w:val="36"/>
          <w:szCs w:val="36"/>
        </w:rPr>
      </w:r>
      <w:r>
        <w:rPr>
          <w:rFonts w:hint="eastAsia" w:ascii="华文行楷" w:eastAsia="华文行楷"/>
          <w:b/>
          <w:sz w:val="36"/>
          <w:szCs w:val="36"/>
        </w:rPr>
      </w:r>
    </w:p>
    <w:p>
      <w:pPr>
        <w:pStyle w:val="654"/>
        <w:pBdr/>
        <w:spacing/>
        <w:ind/>
        <w:jc w:val="center"/>
        <w:rPr>
          <w:rFonts w:hint="eastAsia" w:ascii="华文行楷" w:eastAsia="华文行楷"/>
          <w:b/>
          <w:sz w:val="36"/>
          <w:szCs w:val="36"/>
        </w:rPr>
      </w:pPr>
      <w:r>
        <w:rPr>
          <w:rFonts w:hint="eastAsia" w:ascii="华文行楷" w:eastAsia="华文行楷"/>
          <w:b/>
          <w:sz w:val="36"/>
          <w:szCs w:val="36"/>
        </w:rPr>
      </w:r>
      <w:r>
        <w:rPr>
          <w:rFonts w:hint="eastAsia" w:ascii="华文行楷" w:eastAsia="华文行楷"/>
          <w:b/>
          <w:sz w:val="36"/>
          <w:szCs w:val="36"/>
        </w:rPr>
      </w:r>
    </w:p>
    <w:p>
      <w:pPr>
        <w:pStyle w:val="654"/>
        <w:pBdr/>
        <w:spacing/>
        <w:ind/>
        <w:jc w:val="center"/>
        <w:rPr>
          <w:rFonts w:hint="eastAsia" w:ascii="华文行楷" w:eastAsia="华文行楷"/>
          <w:b/>
          <w:sz w:val="36"/>
          <w:szCs w:val="36"/>
        </w:rPr>
      </w:pPr>
      <w:r>
        <w:rPr>
          <w:rFonts w:hint="eastAsia" w:ascii="华文行楷" w:eastAsia="华文行楷"/>
          <w:b/>
          <w:sz w:val="36"/>
          <w:szCs w:val="36"/>
        </w:rPr>
      </w:r>
      <w:r>
        <w:rPr>
          <w:rFonts w:hint="eastAsia" w:ascii="华文行楷" w:eastAsia="华文行楷"/>
          <w:b/>
          <w:sz w:val="36"/>
          <w:szCs w:val="36"/>
        </w:rPr>
      </w:r>
    </w:p>
    <w:p>
      <w:pPr>
        <w:pStyle w:val="654"/>
        <w:pBdr/>
        <w:spacing/>
        <w:ind/>
        <w:jc w:val="center"/>
        <w:rPr>
          <w:rFonts w:hint="eastAsia" w:ascii="华文行楷" w:eastAsia="华文行楷"/>
          <w:b/>
          <w:sz w:val="36"/>
          <w:szCs w:val="36"/>
        </w:rPr>
      </w:pPr>
      <w:r>
        <w:rPr>
          <w:rFonts w:hint="eastAsia" w:ascii="华文行楷" w:eastAsia="华文行楷"/>
          <w:b/>
          <w:sz w:val="36"/>
          <w:szCs w:val="36"/>
        </w:rPr>
      </w:r>
      <w:r>
        <w:rPr>
          <w:rFonts w:hint="eastAsia" w:ascii="华文行楷" w:eastAsia="华文行楷"/>
          <w:b/>
          <w:sz w:val="36"/>
          <w:szCs w:val="36"/>
        </w:rPr>
      </w:r>
    </w:p>
    <w:p>
      <w:pPr>
        <w:pStyle w:val="654"/>
        <w:pBdr/>
        <w:spacing/>
        <w:ind/>
        <w:jc w:val="center"/>
        <w:rPr>
          <w:rFonts w:hint="eastAsia" w:ascii="华文行楷" w:eastAsia="华文行楷"/>
          <w:b/>
          <w:sz w:val="36"/>
          <w:szCs w:val="36"/>
        </w:rPr>
      </w:pPr>
      <w:r>
        <w:rPr>
          <w:rFonts w:hint="eastAsia" w:ascii="华文行楷" w:eastAsia="华文行楷"/>
          <w:b/>
          <w:sz w:val="36"/>
          <w:szCs w:val="36"/>
        </w:rPr>
      </w:r>
      <w:r>
        <w:rPr>
          <w:rFonts w:hint="eastAsia" w:ascii="华文行楷" w:eastAsia="华文行楷"/>
          <w:b/>
          <w:sz w:val="36"/>
          <w:szCs w:val="36"/>
        </w:rPr>
      </w:r>
    </w:p>
    <w:p>
      <w:pPr>
        <w:pStyle w:val="654"/>
        <w:pBdr/>
        <w:spacing/>
        <w:ind/>
        <w:jc w:val="center"/>
        <w:rPr>
          <w:rFonts w:hint="eastAsia" w:ascii="华文行楷" w:eastAsia="华文行楷"/>
          <w:b/>
          <w:sz w:val="36"/>
          <w:szCs w:val="36"/>
        </w:rPr>
      </w:pPr>
      <w:r>
        <w:rPr>
          <w:rFonts w:hint="eastAsia" w:ascii="华文行楷" w:eastAsia="华文行楷"/>
          <w:b/>
          <w:sz w:val="36"/>
          <w:szCs w:val="36"/>
        </w:rPr>
      </w:r>
      <w:r>
        <w:rPr>
          <w:rFonts w:hint="eastAsia" w:ascii="华文行楷" w:eastAsia="华文行楷"/>
          <w:b/>
          <w:sz w:val="36"/>
          <w:szCs w:val="36"/>
        </w:rPr>
      </w:r>
    </w:p>
    <w:p>
      <w:pPr>
        <w:pStyle w:val="654"/>
        <w:pBdr/>
        <w:spacing/>
        <w:ind/>
        <w:jc w:val="center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</w:r>
      <w:r>
        <w:rPr>
          <w:rFonts w:hint="eastAsia" w:ascii="仿宋_GB2312" w:eastAsia="仿宋_GB2312"/>
          <w:sz w:val="30"/>
          <w:szCs w:val="30"/>
        </w:rPr>
      </w:r>
    </w:p>
    <w:p>
      <w:pPr>
        <w:pStyle w:val="663"/>
        <w:pBdr/>
        <w:tabs>
          <w:tab w:val="right" w:leader="dot" w:pos="9061"/>
        </w:tabs>
        <w:spacing/>
        <w:ind/>
        <w:jc w:val="center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 xml:space="preserve">目</w:t>
      </w:r>
      <w:r>
        <w:rPr>
          <w:rFonts w:hint="eastAsia" w:ascii="楷体" w:hAnsi="楷体" w:eastAsia="楷体"/>
          <w:b/>
          <w:bCs/>
          <w:sz w:val="28"/>
          <w:szCs w:val="28"/>
        </w:rPr>
        <w:t xml:space="preserve">  </w:t>
      </w:r>
      <w:r>
        <w:rPr>
          <w:rFonts w:hint="eastAsia" w:ascii="楷体" w:hAnsi="楷体" w:eastAsia="楷体"/>
          <w:b/>
          <w:bCs/>
          <w:sz w:val="28"/>
          <w:szCs w:val="28"/>
        </w:rPr>
        <w:t xml:space="preserve">录</w:t>
      </w:r>
      <w:r>
        <w:rPr>
          <w:rFonts w:hint="eastAsia" w:ascii="楷体" w:hAnsi="楷体" w:eastAsia="楷体"/>
          <w:sz w:val="28"/>
          <w:szCs w:val="28"/>
        </w:rPr>
      </w:r>
      <w:r>
        <w:rPr>
          <w:rFonts w:hint="eastAsia" w:ascii="楷体" w:hAnsi="楷体" w:eastAsia="楷体"/>
          <w:sz w:val="28"/>
          <w:szCs w:val="28"/>
        </w:rPr>
      </w:r>
    </w:p>
    <w:p>
      <w:pPr>
        <w:pStyle w:val="663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Fonts w:hint="eastAsia" w:ascii="楷体" w:hAnsi="楷体" w:eastAsia="楷体"/>
          <w:bCs/>
          <w:sz w:val="24"/>
        </w:rPr>
        <w:fldChar w:fldCharType="begin"/>
      </w:r>
      <w:r>
        <w:rPr>
          <w:rFonts w:hint="eastAsia" w:ascii="楷体" w:hAnsi="楷体" w:eastAsia="楷体"/>
          <w:bCs/>
          <w:sz w:val="24"/>
        </w:rPr>
        <w:instrText xml:space="preserve">TOC \o "1-3" \h  \u </w:instrText>
      </w:r>
      <w:r>
        <w:rPr>
          <w:rFonts w:hint="eastAsia" w:ascii="楷体" w:hAnsi="楷体" w:eastAsia="楷体"/>
          <w:bCs/>
          <w:sz w:val="24"/>
        </w:rPr>
        <w:fldChar w:fldCharType="separate"/>
      </w: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"_Toc16603076"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一、部件识别操作程序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_Toc16603076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1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"_Toc16603077"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试题1、本充装装置的气瓶属于哪类气瓶种类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_Toc16603077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1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"_Toc16603078"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试题2、本充装装置的气瓶，公称容积是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_Toc16603078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1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"_Toc16603079"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试题3、液化石油气气瓶瓶体的颜色是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_Toc16603079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1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"_Toc16603080"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试题4、液化石油气气瓶字的颜色是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_Toc16603080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1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"_Toc16603081"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试题5、本装置气瓶充装气体是是否是可燃的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_Toc16603081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1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"_Toc16603082"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试题6、本装置充装的气瓶瓶阀出气口螺纹是左旋还是右旋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_Toc16603082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"_Toc16603083"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试题7、本充装装置气瓶充装方法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_Toc16603083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"_Toc16603084"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试题8、指出本装置气瓶制造标准号标志位置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_Toc16603084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"_Toc16603085"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试题9、指出本装置气瓶编号标志位置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_Toc16603085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"_Toc16603086"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试题10、指出本装置气瓶瓶体水压试验压力标志位置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_Toc16603086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"_Toc16603087"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试题11、指出本装置气瓶瓶体公称工作压力标志位置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_Toc16603087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"_Toc16603088"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试题12、指出本装置气瓶制造年、月标志位置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_Toc16603088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2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"_Toc16603089"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试题13、指出本装置气瓶设计使用年限标志位置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_Toc16603089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"_Toc16603090"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试题14、指出本装置气瓶瓶体设计壁厚标志位置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_Toc16603090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"_Toc16603091"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试题15、指出本装置气瓶瓶体实际容积标志位置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_Toc16603091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"_Toc16603092"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试题16、指出本装置气瓶实际重量标志位置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_Toc16603092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"_Toc16603093"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试题17、指出本装置气瓶充装气体名称或化学分子式标志位置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_Toc16603093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"_Toc16603094"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试题18、指出本装置气瓶液化气体最大充装量标志位置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_Toc16603094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"_Toc16603095"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试题19、指出本装置气瓶制造单位许可证编号标志位置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_Toc16603095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"_Toc16603096"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试题20、指出本装置气瓶制造单位代号标志位置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_Toc16603096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63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"_Toc16603097"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二、正常充装操作程序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_Toc16603097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3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"_Toc16603098"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1、外观检查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_Toc16603098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4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"_Toc16603099"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2、正常充装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_Toc16603099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4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"_Toc16603100"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3、压力表更换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_Toc16603100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5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"_Toc16603101"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试题21、液化石油气气瓶充装前外观检查(3号瓶)，操作程序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_Toc16603101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5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"_Toc16603102"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试题22、液化石油气气瓶充装前外观检查(4号瓶)，操作程序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_Toc16603102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5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"_Toc16603103"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试题23、液化石油气气瓶充装，操作程序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_Toc16603103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5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"_Toc16603104"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试题24、用计量秤检查液化石油气是否超过充装重量，操作程序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_Toc16603104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6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"_Toc16603105"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试题25、压力表更换，操作程序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_Toc16603105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6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63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"_Toc16603106"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三、应急处理操作程序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_Toc16603106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7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"_Toc16603107"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1、抽真空操作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_Toc16603107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7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"_Toc16603108"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2、残液回收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_Toc16603108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7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"_Toc16603109"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3、泄漏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_Toc16603109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7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"_Toc16603110"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试题26、液化石油气气瓶抽真空处理，操作程序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_Toc16603110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8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"_Toc16603111"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试题27、液化石油气气瓶体内残液回收，操作程序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_Toc16603111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8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"_Toc16603112"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试题28、液化石油气气瓶充装时管道泄漏，操作程序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_Toc16603112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9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1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"_Toc16603113"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  <w:b/>
        </w:rPr>
        <w:t xml:space="preserve">试题29、液化石油气气瓶充装过程中瓶体有泄漏或角阀破裂，操作程序（2号瓶）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_Toc16603113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9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75"/>
        <w:pBdr/>
        <w:tabs>
          <w:tab w:val="right" w:leader="dot" w:pos="9736"/>
        </w:tabs>
        <w:spacing/>
        <w:ind/>
        <w:rPr>
          <w:rFonts w:hint="eastAsia" w:ascii="Calibri" w:hAnsi="Calibri"/>
          <w:szCs w:val="22"/>
        </w:rPr>
      </w:pPr>
      <w:r>
        <w:rPr>
          <w:rStyle w:val="661"/>
          <w:rFonts w:hint="eastAsia"/>
        </w:rPr>
        <w:fldChar w:fldCharType="begin"/>
      </w:r>
      <w:r>
        <w:rPr>
          <w:rStyle w:val="661"/>
          <w:rFonts w:hint="eastAsia"/>
        </w:rPr>
        <w:instrText xml:space="preserve"> </w:instrText>
      </w:r>
      <w:r>
        <w:rPr>
          <w:rFonts w:hint="eastAsia"/>
        </w:rPr>
        <w:instrText xml:space="preserve">HYPERLINK \l "_Toc16603114"</w:instrText>
      </w:r>
      <w:r>
        <w:rPr>
          <w:rStyle w:val="661"/>
          <w:rFonts w:hint="eastAsia"/>
        </w:rPr>
        <w:instrText xml:space="preserve"> </w:instrText>
      </w:r>
      <w:r>
        <w:rPr>
          <w:rStyle w:val="661"/>
          <w:rFonts w:hint="eastAsia"/>
        </w:rPr>
        <w:fldChar w:fldCharType="separate"/>
      </w:r>
      <w:r>
        <w:rPr>
          <w:rStyle w:val="661"/>
          <w:rFonts w:hint="eastAsia" w:ascii="仿宋_GB2312" w:eastAsia="仿宋_GB2312"/>
        </w:rPr>
        <w:t xml:space="preserve">4、注意事项</w:t>
      </w:r>
      <w:r>
        <w:rPr>
          <w:rFonts w:hint="eastAsia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</w:instrText>
      </w:r>
      <w:r>
        <w:instrText xml:space="preserve">PAGEREF _Toc16603114 \h</w:instrText>
      </w:r>
      <w:r>
        <w:rPr>
          <w:rFonts w:hint="eastAsia"/>
        </w:rPr>
        <w:instrText xml:space="preserve"> </w:instrText>
      </w:r>
      <w:r>
        <w:fldChar w:fldCharType="separate"/>
      </w:r>
      <w:r>
        <w:t xml:space="preserve">9</w:t>
      </w:r>
      <w:r>
        <w:rPr>
          <w:rFonts w:hint="eastAsia"/>
        </w:rPr>
        <w:fldChar w:fldCharType="end"/>
      </w:r>
      <w:r>
        <w:rPr>
          <w:rStyle w:val="661"/>
          <w:rFonts w:hint="eastAsia"/>
        </w:rPr>
        <w:fldChar w:fldCharType="end"/>
      </w:r>
      <w:r>
        <w:rPr>
          <w:rFonts w:hint="eastAsia" w:ascii="Calibri" w:hAnsi="Calibri"/>
          <w:szCs w:val="22"/>
        </w:rPr>
      </w:r>
      <w:r>
        <w:rPr>
          <w:rFonts w:hint="eastAsia" w:ascii="Calibri" w:hAnsi="Calibri"/>
          <w:szCs w:val="22"/>
        </w:rPr>
      </w:r>
    </w:p>
    <w:p>
      <w:pPr>
        <w:pStyle w:val="654"/>
        <w:pBdr/>
        <w:spacing w:line="360" w:lineRule="auto"/>
        <w:ind/>
        <w:jc w:val="center"/>
        <w:rPr>
          <w:rFonts w:hint="eastAsia" w:ascii="楷体" w:hAnsi="楷体" w:eastAsia="楷体"/>
          <w:bCs/>
          <w:sz w:val="24"/>
        </w:rPr>
      </w:pPr>
      <w:r>
        <w:rPr>
          <w:rFonts w:hint="eastAsia" w:ascii="楷体" w:hAnsi="楷体" w:eastAsia="楷体"/>
          <w:bCs/>
          <w:sz w:val="24"/>
        </w:rPr>
        <w:fldChar w:fldCharType="end"/>
      </w:r>
      <w:r>
        <w:rPr>
          <w:rFonts w:hint="eastAsia" w:ascii="楷体" w:hAnsi="楷体" w:eastAsia="楷体"/>
          <w:bCs/>
          <w:sz w:val="24"/>
        </w:rPr>
      </w:r>
      <w:r>
        <w:rPr>
          <w:rFonts w:hint="eastAsia" w:ascii="楷体" w:hAnsi="楷体" w:eastAsia="楷体"/>
          <w:bCs/>
          <w:sz w:val="24"/>
        </w:rPr>
      </w:r>
    </w:p>
    <w:p>
      <w:pPr>
        <w:pStyle w:val="683"/>
        <w:pBdr/>
        <w:spacing/>
        <w:ind/>
        <w:rPr/>
        <w:sectPr>
          <w:footerReference w:type="default" r:id="rId8"/>
          <w:footnotePr/>
          <w:endnotePr/>
          <w:type w:val="nextPage"/>
          <w:pgSz w:h="16838" w:orient="landscape" w:w="11906"/>
          <w:pgMar w:top="1440" w:right="1080" w:bottom="1440" w:left="1080" w:header="851" w:footer="992" w:gutter="0"/>
          <w:pgNumType w:start="1"/>
          <w:cols w:num="1" w:sep="0" w:space="720" w:equalWidth="1"/>
        </w:sectPr>
      </w:pPr>
      <w:r/>
      <w:bookmarkStart w:id="0" w:name="_Toc245001707"/>
      <w:r/>
      <w:r/>
    </w:p>
    <w:p>
      <w:pPr>
        <w:pStyle w:val="654"/>
        <w:pBdr/>
        <w:spacing/>
        <w:ind/>
        <w:outlineLvl w:val="0"/>
        <w:rPr>
          <w:rFonts w:hint="eastAsia" w:ascii="仿宋_GB2312" w:eastAsia="仿宋_GB2312"/>
          <w:b/>
          <w:sz w:val="32"/>
          <w:szCs w:val="32"/>
        </w:rPr>
      </w:pPr>
      <w:r/>
      <w:bookmarkEnd w:id="0"/>
      <w:r/>
      <w:bookmarkStart w:id="1" w:name="_Toc361227335"/>
      <w:r/>
      <w:bookmarkStart w:id="2" w:name="_Toc426721993"/>
      <w:r/>
      <w:bookmarkStart w:id="3" w:name="_Toc476732025"/>
      <w:r/>
      <w:bookmarkStart w:id="4" w:name="_Toc11153508"/>
      <w:r/>
      <w:bookmarkStart w:id="5" w:name="_Toc16603076"/>
      <w:r>
        <w:rPr>
          <w:rFonts w:hint="eastAsia" w:ascii="仿宋_GB2312" w:eastAsia="仿宋_GB2312"/>
          <w:b/>
          <w:sz w:val="32"/>
          <w:szCs w:val="32"/>
        </w:rPr>
        <w:t xml:space="preserve">一、</w:t>
      </w:r>
      <w:r>
        <w:rPr>
          <w:rFonts w:hint="eastAsia" w:ascii="仿宋_GB2312" w:eastAsia="仿宋_GB2312"/>
          <w:b/>
          <w:sz w:val="32"/>
          <w:szCs w:val="32"/>
        </w:rPr>
        <w:t xml:space="preserve">部件</w:t>
      </w:r>
      <w:r>
        <w:rPr>
          <w:rFonts w:ascii="仿宋_GB2312" w:eastAsia="仿宋_GB2312"/>
          <w:b/>
          <w:sz w:val="32"/>
          <w:szCs w:val="32"/>
        </w:rPr>
        <w:t xml:space="preserve">识别操作</w:t>
      </w:r>
      <w:bookmarkEnd w:id="1"/>
      <w:r>
        <w:rPr>
          <w:rFonts w:hint="eastAsia" w:ascii="仿宋_GB2312" w:eastAsia="仿宋_GB2312"/>
          <w:b/>
          <w:sz w:val="32"/>
          <w:szCs w:val="32"/>
        </w:rPr>
        <w:t xml:space="preserve">程序</w:t>
      </w:r>
      <w:bookmarkEnd w:id="2"/>
      <w:r>
        <w:rPr>
          <w:rFonts w:hint="eastAsia" w:ascii="仿宋_GB2312" w:eastAsia="仿宋_GB2312"/>
          <w:b/>
          <w:sz w:val="32"/>
          <w:szCs w:val="32"/>
        </w:rPr>
      </w:r>
      <w:r>
        <w:rPr>
          <w:rFonts w:hint="eastAsia" w:ascii="仿宋_GB2312" w:eastAsia="仿宋_GB2312"/>
          <w:b/>
          <w:sz w:val="32"/>
          <w:szCs w:val="32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6" w:name="_Toc11152362"/>
      <w:r/>
      <w:bookmarkStart w:id="7" w:name="_Toc11153509"/>
      <w:r/>
      <w:bookmarkStart w:id="8" w:name="_Toc16603077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试题1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bookmarkEnd w:id="3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本充装装置的气瓶属于哪类气瓶种类</w:t>
      </w:r>
      <w:bookmarkEnd w:id="4"/>
      <w:r/>
      <w:bookmarkEnd w:id="5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无缝钢瓶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焊接气瓶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（3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特种气瓶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2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9" w:name="_Toc16603078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本充装装置的气瓶，公称容积是</w:t>
      </w:r>
      <w:bookmarkEnd w:id="6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12L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35.5L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（3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118L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2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0" w:name="_Toc16603079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3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液化石油气气瓶瓶体的颜色是</w:t>
      </w:r>
      <w:bookmarkEnd w:id="7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蓝色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白色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（3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银灰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3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1" w:name="_Toc16603080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4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液化石油气气瓶字的颜色是</w:t>
      </w:r>
      <w:bookmarkEnd w:id="8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白色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黑色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（3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大红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3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2" w:name="_Toc16603081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5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本装置气瓶充装气体是是否是可燃的</w:t>
      </w:r>
      <w:bookmarkEnd w:id="9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是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否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1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3" w:name="_Toc16603082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6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本装置充装的气瓶瓶阀出气口螺纹是左旋还是右旋</w:t>
      </w:r>
      <w:bookmarkEnd w:id="10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左旋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右旋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1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4" w:name="_Toc16603083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7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本充装装置气瓶充装方法</w:t>
      </w:r>
      <w:bookmarkEnd w:id="11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说明：考试触摸屏选择答案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（1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计压充装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（2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计重充装</w:t>
      </w:r>
      <w:r>
        <w:rPr>
          <w:rFonts w:ascii="仿宋_GB2312" w:hAnsi="黑体" w:eastAsia="仿宋_GB2312"/>
          <w:b/>
          <w:sz w:val="24"/>
        </w:rPr>
      </w:r>
      <w:r>
        <w:rPr>
          <w:rFonts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（3</w:t>
      </w:r>
      <w:r>
        <w:rPr>
          <w:rFonts w:ascii="仿宋_GB2312" w:hAnsi="黑体" w:eastAsia="仿宋_GB2312"/>
          <w:b/>
          <w:sz w:val="24"/>
        </w:rPr>
        <w:t xml:space="preserve">）</w:t>
      </w:r>
      <w:r>
        <w:rPr>
          <w:rFonts w:hint="eastAsia" w:ascii="仿宋_GB2312" w:hAnsi="黑体" w:eastAsia="仿宋_GB2312"/>
          <w:b/>
          <w:sz w:val="24"/>
        </w:rPr>
        <w:t xml:space="preserve">计压加计重充装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sz w:val="24"/>
        </w:rPr>
        <w:t xml:space="preserve">2</w:t>
      </w:r>
      <w:r>
        <w:rPr>
          <w:rFonts w:hint="eastAsia" w:ascii="仿宋_GB2312" w:hAnsi="黑体" w:eastAsia="仿宋_GB2312"/>
          <w:b/>
          <w:sz w:val="24"/>
        </w:rPr>
      </w:r>
      <w:r>
        <w:rPr>
          <w:rFonts w:hint="eastAsia" w:ascii="仿宋_GB2312" w:hAnsi="黑体" w:eastAsia="仿宋_GB2312"/>
          <w:b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5" w:name="_Toc11153516"/>
      <w:r/>
      <w:bookmarkStart w:id="16" w:name="_Toc16603084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8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bookmarkEnd w:id="12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指出本装置气瓶制造标准号标志位置</w:t>
      </w:r>
      <w:bookmarkEnd w:id="13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7" w:name="_Toc16603085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9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指出本装置气瓶编号标志位置</w:t>
      </w:r>
      <w:bookmarkEnd w:id="14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8" w:name="_Toc16603086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10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指出本装置气瓶瓶体水压试验压力标志位置</w:t>
      </w:r>
      <w:bookmarkEnd w:id="15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19" w:name="_Toc16603087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11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指出本装置气瓶瓶体公称工作压力标志位置</w:t>
      </w:r>
      <w:bookmarkEnd w:id="16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0" w:name="_Toc16603088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指出本装置气瓶制造年、月标志位置</w:t>
      </w:r>
      <w:bookmarkEnd w:id="17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1" w:name="_Toc16603089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3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指出本装置气瓶设计使用年限标志位置</w:t>
      </w:r>
      <w:bookmarkEnd w:id="18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2" w:name="_Toc16603090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4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指出本装置气瓶瓶体设计壁厚标志位置</w:t>
      </w:r>
      <w:bookmarkEnd w:id="19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3" w:name="_Toc16603091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5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指出本装置气瓶瓶体实际容积标志位置</w:t>
      </w:r>
      <w:bookmarkEnd w:id="20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4" w:name="_Toc16603092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6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指出本装置气瓶实际重量标志位置</w:t>
      </w:r>
      <w:bookmarkEnd w:id="21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5" w:name="_Toc16603093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7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指出本装置气瓶充装气体名称或化学分子式标志位置</w:t>
      </w:r>
      <w:bookmarkEnd w:id="22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6" w:name="_Toc16603094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8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指出本装置气瓶液化气体最大充装量标志位置</w:t>
      </w:r>
      <w:bookmarkEnd w:id="23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7" w:name="_Toc16603095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19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指出本装置气瓶制造单位许可证编号标志位置</w:t>
      </w:r>
      <w:bookmarkEnd w:id="24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28" w:name="_Toc16603096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0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指出本装置气瓶制造单位代号标志位置</w:t>
      </w:r>
      <w:bookmarkEnd w:id="25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说明：用条码枪操作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sz w:val="24"/>
        </w:rPr>
        <w:t xml:space="preserve">正确答案</w:t>
      </w:r>
      <w:r>
        <w:rPr>
          <w:rFonts w:hint="eastAsia" w:ascii="仿宋_GB2312" w:hAnsi="黑体" w:eastAsia="仿宋_GB2312"/>
          <w:b/>
          <w:sz w:val="24"/>
        </w:rPr>
        <w:t xml:space="preserve"> </w:t>
      </w:r>
      <w:r>
        <w:rPr>
          <w:rFonts w:ascii="仿宋_GB2312" w:hAnsi="黑体" w:eastAsia="仿宋_GB2312"/>
          <w:b/>
          <w:color w:val="000000"/>
          <w:sz w:val="24"/>
        </w:rPr>
        <w:t xml:space="preserve">****</w:t>
      </w:r>
      <w:r>
        <w:rPr>
          <w:rFonts w:hint="eastAsia" w:ascii="仿宋_GB2312" w:hAnsi="黑体" w:eastAsia="仿宋_GB2312"/>
          <w:b/>
          <w:color w:val="000000"/>
          <w:sz w:val="24"/>
        </w:rPr>
      </w:r>
      <w:r>
        <w:rPr>
          <w:rFonts w:hint="eastAsia" w:ascii="仿宋_GB2312" w:hAnsi="黑体" w:eastAsia="仿宋_GB2312"/>
          <w:b/>
          <w:color w:val="000000"/>
          <w:sz w:val="24"/>
        </w:rPr>
      </w:r>
    </w:p>
    <w:p>
      <w:pPr>
        <w:pStyle w:val="679"/>
        <w:pBdr/>
        <w:spacing w:line="360" w:lineRule="auto"/>
        <w:ind/>
        <w:outlineLvl w:val="0"/>
        <w:rPr>
          <w:rFonts w:hint="eastAsia" w:ascii="仿宋_GB2312" w:eastAsia="仿宋_GB2312"/>
          <w:b/>
          <w:color w:val="000000"/>
          <w:sz w:val="32"/>
          <w:szCs w:val="32"/>
        </w:rPr>
      </w:pPr>
      <w:r/>
      <w:bookmarkStart w:id="29" w:name="_Toc16603097"/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二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、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正常充装</w:t>
      </w:r>
      <w:r>
        <w:rPr>
          <w:rFonts w:ascii="仿宋_GB2312" w:eastAsia="仿宋_GB2312"/>
          <w:b/>
          <w:color w:val="000000"/>
          <w:sz w:val="32"/>
          <w:szCs w:val="32"/>
        </w:rPr>
        <w:t xml:space="preserve">操作程序</w:t>
      </w:r>
      <w:bookmarkEnd w:id="26"/>
      <w:r>
        <w:rPr>
          <w:rFonts w:hint="eastAsia" w:ascii="仿宋_GB2312" w:eastAsia="仿宋_GB2312"/>
          <w:b/>
          <w:color w:val="000000"/>
          <w:sz w:val="32"/>
          <w:szCs w:val="32"/>
        </w:rPr>
      </w:r>
      <w:r>
        <w:rPr>
          <w:rFonts w:hint="eastAsia" w:ascii="仿宋_GB2312" w:eastAsia="仿宋_GB2312"/>
          <w:b/>
          <w:color w:val="000000"/>
          <w:sz w:val="32"/>
          <w:szCs w:val="32"/>
        </w:rPr>
      </w:r>
    </w:p>
    <w:p>
      <w:pPr>
        <w:pStyle w:val="654"/>
        <w:pBdr/>
        <w:spacing/>
        <w:ind/>
        <w:outlineLvl w:val="1"/>
        <w:rPr>
          <w:rFonts w:hint="eastAsia" w:ascii="仿宋_GB2312" w:eastAsia="仿宋_GB2312"/>
          <w:color w:val="000000"/>
          <w:sz w:val="28"/>
          <w:szCs w:val="28"/>
        </w:rPr>
      </w:pPr>
      <w:r/>
      <w:bookmarkStart w:id="30" w:name="_Toc420767965"/>
      <w:r/>
      <w:bookmarkStart w:id="31" w:name="_Toc16603098"/>
      <w:r>
        <w:rPr>
          <w:rFonts w:hint="eastAsia" w:ascii="仿宋_GB2312" w:eastAsia="仿宋_GB2312"/>
          <w:color w:val="000000"/>
          <w:sz w:val="28"/>
          <w:szCs w:val="28"/>
        </w:rPr>
        <w:t xml:space="preserve">1、</w:t>
      </w:r>
      <w:bookmarkEnd w:id="27"/>
      <w:r>
        <w:rPr>
          <w:rFonts w:hint="eastAsia" w:ascii="仿宋_GB2312" w:eastAsia="仿宋_GB2312"/>
          <w:color w:val="000000"/>
          <w:sz w:val="28"/>
          <w:szCs w:val="28"/>
        </w:rPr>
        <w:t xml:space="preserve">外观检查</w:t>
      </w:r>
      <w:bookmarkEnd w:id="28"/>
      <w:r>
        <w:rPr>
          <w:rFonts w:hint="eastAsia" w:ascii="仿宋_GB2312" w:eastAsia="仿宋_GB2312"/>
          <w:color w:val="000000"/>
          <w:sz w:val="28"/>
          <w:szCs w:val="28"/>
        </w:rPr>
      </w:r>
      <w:r>
        <w:rPr>
          <w:rFonts w:hint="eastAsia"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4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A、操作内容：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1）液化石油气</w:t>
      </w:r>
      <w:r>
        <w:rPr>
          <w:rFonts w:hint="eastAsia" w:ascii="仿宋_GB2312" w:eastAsia="仿宋_GB2312"/>
          <w:color w:val="000000"/>
          <w:sz w:val="24"/>
        </w:rPr>
        <w:t xml:space="preserve">瓶充装前外观检查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60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气瓶体颜色标记、警示标签、制造和检验钢印、气瓶护罩底座、安全附件的检查。学员完成对指定的气瓶进行充装前检查后填写充装前检查记录，将检查结果输入到计算机中。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</w:t>
      </w:r>
      <w:r>
        <w:rPr>
          <w:rFonts w:hint="eastAsia" w:ascii="仿宋_GB2312" w:eastAsia="仿宋_GB2312"/>
          <w:color w:val="000000"/>
          <w:sz w:val="24"/>
        </w:rPr>
        <w:t xml:space="preserve">）</w:t>
      </w:r>
      <w:r>
        <w:rPr>
          <w:rFonts w:hint="eastAsia" w:ascii="仿宋_GB2312" w:eastAsia="仿宋_GB2312"/>
          <w:color w:val="000000"/>
          <w:sz w:val="24"/>
        </w:rPr>
        <w:t xml:space="preserve">液化石油气</w:t>
      </w:r>
      <w:r>
        <w:rPr>
          <w:rFonts w:hint="eastAsia" w:ascii="仿宋_GB2312" w:eastAsia="仿宋_GB2312"/>
          <w:color w:val="000000"/>
          <w:sz w:val="24"/>
        </w:rPr>
        <w:t xml:space="preserve">气瓶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（2）有明显损伤液化石油气气瓶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（3）液化石油气</w:t>
      </w:r>
      <w:r>
        <w:rPr>
          <w:rFonts w:hint="eastAsia" w:ascii="仿宋_GB2312" w:eastAsia="仿宋_GB2312"/>
          <w:color w:val="000000"/>
          <w:sz w:val="24"/>
        </w:rPr>
        <w:t xml:space="preserve">气瓶钢印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（4）液化石油气气瓶瓶阀材质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（5）液化石油气瓶瓶阀出口螺纹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（6）易燃气瓶的首次充装或定期检验后的首次充装，需要置换或抽真空处理。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（7）液化石油气气瓶内无剩余压力不可以充装。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（8）液化石油气气瓶超过检验期限不可以充装。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（9）液化石油气</w:t>
      </w:r>
      <w:r>
        <w:rPr>
          <w:rFonts w:hint="eastAsia" w:ascii="仿宋_GB2312" w:eastAsia="仿宋_GB2312"/>
          <w:color w:val="000000"/>
          <w:sz w:val="24"/>
        </w:rPr>
        <w:t xml:space="preserve">气瓶附件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2）</w:t>
      </w:r>
      <w:r>
        <w:rPr>
          <w:rFonts w:hint="eastAsia" w:ascii="仿宋_GB2312" w:eastAsia="仿宋_GB2312"/>
          <w:color w:val="000000"/>
          <w:sz w:val="24"/>
        </w:rPr>
        <w:t xml:space="preserve">充装前检查对有问题液化石油气瓶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（1）做好记号及记录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（2）将其移至不合格气瓶存放区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/>
        <w:ind/>
        <w:outlineLvl w:val="1"/>
        <w:rPr>
          <w:rFonts w:hint="eastAsia" w:ascii="仿宋_GB2312" w:eastAsia="仿宋_GB2312"/>
          <w:color w:val="000000"/>
          <w:sz w:val="28"/>
          <w:szCs w:val="28"/>
        </w:rPr>
      </w:pPr>
      <w:r/>
      <w:bookmarkStart w:id="32" w:name="_Toc16603099"/>
      <w:r>
        <w:rPr>
          <w:rFonts w:ascii="仿宋_GB2312" w:eastAsia="仿宋_GB2312"/>
          <w:color w:val="000000"/>
          <w:sz w:val="28"/>
          <w:szCs w:val="28"/>
        </w:rPr>
        <w:t xml:space="preserve">2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、正常充装</w:t>
      </w:r>
      <w:bookmarkEnd w:id="29"/>
      <w:r>
        <w:rPr>
          <w:rFonts w:hint="eastAsia" w:ascii="仿宋_GB2312" w:eastAsia="仿宋_GB2312"/>
          <w:color w:val="000000"/>
          <w:sz w:val="28"/>
          <w:szCs w:val="28"/>
        </w:rPr>
      </w:r>
      <w:r>
        <w:rPr>
          <w:rFonts w:hint="eastAsia"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4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A、操作内容：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1）</w:t>
      </w:r>
      <w:r>
        <w:rPr>
          <w:rFonts w:hint="eastAsia" w:ascii="仿宋_GB2312" w:eastAsia="仿宋_GB2312"/>
          <w:color w:val="000000"/>
          <w:sz w:val="24"/>
        </w:rPr>
        <w:t xml:space="preserve">液化石油气气瓶充装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</w:t>
      </w:r>
      <w:r>
        <w:rPr>
          <w:rFonts w:hint="eastAsia" w:ascii="仿宋_GB2312" w:eastAsia="仿宋_GB2312"/>
          <w:color w:val="000000"/>
          <w:sz w:val="24"/>
        </w:rPr>
        <w:t xml:space="preserve">将检查合格的气瓶放在充装秤台板中央。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</w:t>
      </w:r>
      <w:r>
        <w:rPr>
          <w:rFonts w:hint="eastAsia" w:ascii="仿宋_GB2312" w:eastAsia="仿宋_GB2312"/>
          <w:color w:val="000000"/>
          <w:sz w:val="24"/>
        </w:rPr>
        <w:t xml:space="preserve">校正充装秤的“0”位，检查充装秤是否正常；检查充装秤的校验有效期及其静电接地导线连接是否良好；检查气控装置和空气压力；检查充装软管和充装阀是否密封良好。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</w:t>
      </w:r>
      <w:r>
        <w:rPr>
          <w:rFonts w:hint="eastAsia" w:ascii="仿宋_GB2312" w:eastAsia="仿宋_GB2312"/>
          <w:color w:val="000000"/>
          <w:sz w:val="24"/>
        </w:rPr>
        <w:t xml:space="preserve">3</w:t>
      </w:r>
      <w:r>
        <w:rPr>
          <w:rFonts w:hint="eastAsia" w:ascii="仿宋_GB2312" w:eastAsia="仿宋_GB2312"/>
          <w:color w:val="000000"/>
          <w:sz w:val="24"/>
        </w:rPr>
        <w:t xml:space="preserve">）记录气瓶充装前重量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</w:t>
      </w:r>
      <w:r>
        <w:rPr>
          <w:rFonts w:hint="eastAsia" w:ascii="仿宋_GB2312" w:eastAsia="仿宋_GB2312"/>
          <w:color w:val="000000"/>
          <w:sz w:val="24"/>
        </w:rPr>
        <w:t xml:space="preserve">4</w:t>
      </w:r>
      <w:r>
        <w:rPr>
          <w:rFonts w:hint="eastAsia" w:ascii="仿宋_GB2312" w:eastAsia="仿宋_GB2312"/>
          <w:color w:val="000000"/>
          <w:sz w:val="24"/>
        </w:rPr>
        <w:t xml:space="preserve">）将气瓶角阀与充装枪连接。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</w:t>
      </w:r>
      <w:r>
        <w:rPr>
          <w:rFonts w:hint="eastAsia" w:ascii="仿宋_GB2312" w:eastAsia="仿宋_GB2312"/>
          <w:color w:val="000000"/>
          <w:sz w:val="24"/>
        </w:rPr>
        <w:t xml:space="preserve">5）先开气瓶角阀，检查连接处应密封良好，再开启充装阀，进行气瓶充装</w:t>
      </w:r>
      <w:r>
        <w:rPr>
          <w:rFonts w:hint="eastAsia" w:ascii="仿宋_GB2312" w:eastAsia="仿宋_GB2312"/>
          <w:color w:val="000000"/>
          <w:sz w:val="24"/>
        </w:rPr>
        <w:t xml:space="preserve">。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（6）充装中检查角阀阀杆处应不漏气，否则停止充装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</w:t>
      </w:r>
      <w:r>
        <w:rPr>
          <w:rFonts w:hint="eastAsia" w:ascii="仿宋_GB2312" w:eastAsia="仿宋_GB2312"/>
          <w:color w:val="000000"/>
          <w:sz w:val="24"/>
        </w:rPr>
        <w:t xml:space="preserve">7</w:t>
      </w:r>
      <w:r>
        <w:rPr>
          <w:rFonts w:hint="eastAsia" w:ascii="仿宋_GB2312" w:eastAsia="仿宋_GB2312"/>
          <w:color w:val="000000"/>
          <w:sz w:val="24"/>
        </w:rPr>
        <w:t xml:space="preserve">）当充装达到规定重量时</w:t>
      </w:r>
      <w:r>
        <w:rPr>
          <w:rFonts w:hint="eastAsia" w:ascii="仿宋_GB2312" w:eastAsia="仿宋_GB2312"/>
          <w:color w:val="000000"/>
          <w:sz w:val="24"/>
        </w:rPr>
        <w:t xml:space="preserve">，充装秤自动关闭液化石油气气源后，先关闭充装阀</w:t>
      </w:r>
      <w:r>
        <w:rPr>
          <w:rFonts w:hint="eastAsia" w:ascii="仿宋_GB2312" w:eastAsia="仿宋_GB2312"/>
          <w:color w:val="000000"/>
          <w:sz w:val="24"/>
        </w:rPr>
        <w:t xml:space="preserve">后关气瓶角阀。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</w:t>
      </w:r>
      <w:r>
        <w:rPr>
          <w:rFonts w:hint="eastAsia" w:ascii="仿宋_GB2312" w:eastAsia="仿宋_GB2312"/>
          <w:color w:val="000000"/>
          <w:sz w:val="24"/>
        </w:rPr>
        <w:t xml:space="preserve">8</w:t>
      </w:r>
      <w:r>
        <w:rPr>
          <w:rFonts w:hint="eastAsia" w:ascii="仿宋_GB2312" w:eastAsia="仿宋_GB2312"/>
          <w:color w:val="000000"/>
          <w:sz w:val="24"/>
        </w:rPr>
        <w:t xml:space="preserve">）卸下充装枪，移出气瓶</w:t>
      </w:r>
      <w:r>
        <w:rPr>
          <w:rFonts w:hint="eastAsia" w:ascii="仿宋_GB2312" w:eastAsia="仿宋_GB2312"/>
          <w:color w:val="000000"/>
          <w:sz w:val="24"/>
        </w:rPr>
        <w:t xml:space="preserve">，再进行下一轮气瓶充装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</w:t>
      </w:r>
      <w:r>
        <w:rPr>
          <w:rFonts w:hint="eastAsia" w:ascii="仿宋_GB2312" w:eastAsia="仿宋_GB2312"/>
          <w:color w:val="000000"/>
          <w:sz w:val="24"/>
        </w:rPr>
        <w:t xml:space="preserve">9</w:t>
      </w:r>
      <w:r>
        <w:rPr>
          <w:rFonts w:hint="eastAsia" w:ascii="仿宋_GB2312" w:eastAsia="仿宋_GB2312"/>
          <w:color w:val="000000"/>
          <w:sz w:val="24"/>
        </w:rPr>
        <w:t xml:space="preserve">）记录充装完成后气瓶重量。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（10）充装结束时，及时通知相关管理人员停止液化石油气泵，并关闭充装系统的支路充装阀，将充装管内的液化石油气放进待装气瓶内。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（11）清洁充装秤及充装台地面。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1）</w:t>
      </w:r>
      <w:r>
        <w:rPr>
          <w:rFonts w:hint="eastAsia" w:ascii="仿宋_GB2312" w:eastAsia="仿宋_GB2312"/>
          <w:color w:val="000000"/>
          <w:sz w:val="24"/>
        </w:rPr>
        <w:t xml:space="preserve">液化石油气气瓶充装后</w:t>
      </w:r>
      <w:r>
        <w:rPr>
          <w:rFonts w:hint="eastAsia" w:ascii="仿宋_GB2312" w:eastAsia="仿宋_GB2312"/>
          <w:color w:val="000000"/>
          <w:sz w:val="24"/>
        </w:rPr>
        <w:t xml:space="preserve">操作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（1）利用喷壶检查瓶阀杆密封、瓶阀芯座密封及瓶阀与瓶体连接密封是否有泄漏：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（2）检查瓶体是否有变形、泄漏等缺陷。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（3）填写充装后检查记录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（4）检查合格后在气瓶上粘贴符合国家标准GB16804《气瓶警示标签》的《气瓶充装警示标签》。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2）</w:t>
      </w:r>
      <w:r>
        <w:rPr>
          <w:rFonts w:hint="eastAsia" w:ascii="仿宋_GB2312" w:eastAsia="仿宋_GB2312"/>
          <w:color w:val="000000"/>
          <w:sz w:val="24"/>
        </w:rPr>
        <w:t xml:space="preserve">用专用复称计量秤检查是否超过充装重量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（1）将气瓶放置在计量秤中心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（2）查看计量秤，确认气瓶重量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（3）将气瓶移到已充装区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/>
        <w:ind/>
        <w:outlineLvl w:val="1"/>
        <w:rPr>
          <w:rFonts w:ascii="仿宋_GB2312" w:eastAsia="仿宋_GB2312"/>
          <w:color w:val="000000"/>
          <w:sz w:val="28"/>
          <w:szCs w:val="28"/>
        </w:rPr>
      </w:pPr>
      <w:r/>
      <w:bookmarkStart w:id="33" w:name="_Toc504203694"/>
      <w:r/>
      <w:bookmarkStart w:id="34" w:name="_Toc11400655"/>
      <w:r/>
      <w:bookmarkStart w:id="35" w:name="_Toc11403759"/>
      <w:r/>
      <w:bookmarkStart w:id="36" w:name="_Toc16603100"/>
      <w:r>
        <w:rPr>
          <w:rFonts w:ascii="仿宋_GB2312" w:eastAsia="仿宋_GB2312"/>
          <w:color w:val="000000"/>
          <w:sz w:val="28"/>
          <w:szCs w:val="28"/>
        </w:rPr>
        <w:t xml:space="preserve">3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、压力表</w:t>
      </w:r>
      <w:bookmarkEnd w:id="30"/>
      <w:r>
        <w:rPr>
          <w:rFonts w:hint="eastAsia" w:ascii="仿宋_GB2312" w:eastAsia="仿宋_GB2312"/>
          <w:color w:val="000000"/>
          <w:sz w:val="28"/>
          <w:szCs w:val="28"/>
        </w:rPr>
        <w:t xml:space="preserve">更换</w:t>
      </w:r>
      <w:bookmarkEnd w:id="31"/>
      <w:r/>
      <w:bookmarkEnd w:id="32"/>
      <w:r/>
      <w:bookmarkEnd w:id="33"/>
      <w:r>
        <w:rPr>
          <w:rFonts w:ascii="仿宋_GB2312" w:eastAsia="仿宋_GB2312"/>
          <w:color w:val="000000"/>
          <w:sz w:val="28"/>
          <w:szCs w:val="28"/>
        </w:rPr>
      </w:r>
      <w:r>
        <w:rPr>
          <w:rFonts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hint="eastAsia" w:ascii="仿宋_GB2312" w:eastAsia="仿宋_GB2312"/>
          <w:sz w:val="24"/>
          <w:szCs w:val="20"/>
        </w:rPr>
      </w:pPr>
      <w:r>
        <w:rPr>
          <w:rFonts w:hint="eastAsia" w:ascii="仿宋_GB2312" w:eastAsia="仿宋_GB2312"/>
          <w:sz w:val="24"/>
          <w:szCs w:val="20"/>
        </w:rPr>
        <w:t xml:space="preserve">A、操作内容</w:t>
      </w:r>
      <w:r>
        <w:rPr>
          <w:rFonts w:hint="eastAsia" w:ascii="仿宋_GB2312" w:eastAsia="仿宋_GB2312"/>
          <w:sz w:val="24"/>
          <w:szCs w:val="20"/>
        </w:rPr>
      </w:r>
    </w:p>
    <w:p>
      <w:pPr>
        <w:pStyle w:val="654"/>
        <w:pBdr/>
        <w:spacing w:line="360" w:lineRule="auto"/>
        <w:ind w:firstLine="235"/>
        <w:rPr>
          <w:rFonts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（1）关闭压力表下方的针型阀，确定阀门严密关紧后；</w:t>
      </w:r>
      <w:r>
        <w:rPr>
          <w:rFonts w:ascii="仿宋_GB2312" w:hAnsi="黑体" w:eastAsia="仿宋_GB2312"/>
          <w:color w:val="000000"/>
          <w:sz w:val="24"/>
        </w:rPr>
      </w:r>
      <w:r>
        <w:rPr>
          <w:rFonts w:ascii="仿宋_GB2312" w:hAnsi="黑体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（2）取下压力表，将准备好的经校验合格且在有效期内的压力表换上；</w:t>
      </w:r>
      <w:r>
        <w:rPr>
          <w:rFonts w:ascii="仿宋_GB2312" w:hAnsi="黑体" w:eastAsia="仿宋_GB2312"/>
          <w:color w:val="000000"/>
          <w:sz w:val="24"/>
        </w:rPr>
      </w:r>
      <w:r>
        <w:rPr>
          <w:rFonts w:ascii="仿宋_GB2312" w:hAnsi="黑体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hint="eastAsia"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（3）同时缓慢开启针型阀，待压力表指针回位后更换完成</w:t>
      </w:r>
      <w:r>
        <w:rPr>
          <w:rFonts w:hint="eastAsia" w:ascii="仿宋_GB2312" w:hAnsi="黑体" w:eastAsia="仿宋_GB2312"/>
          <w:color w:val="000000"/>
          <w:sz w:val="24"/>
        </w:rPr>
      </w:r>
      <w:r>
        <w:rPr>
          <w:rFonts w:hint="eastAsia" w:ascii="仿宋_GB2312" w:hAnsi="黑体" w:eastAsia="仿宋_GB2312"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hint="eastAsia" w:ascii="仿宋_GB2312" w:eastAsia="仿宋_GB2312"/>
          <w:b/>
          <w:color w:val="000000"/>
          <w:sz w:val="28"/>
          <w:szCs w:val="28"/>
        </w:rPr>
      </w:pPr>
      <w:r/>
      <w:bookmarkStart w:id="37" w:name="_Toc16603101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1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液化石油气气瓶充装前外观检查(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3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号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瓶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)，操作程序</w:t>
      </w:r>
      <w:bookmarkEnd w:id="34"/>
      <w:r>
        <w:rPr>
          <w:rFonts w:hint="eastAsia" w:ascii="仿宋_GB2312" w:eastAsia="仿宋_GB2312"/>
          <w:b/>
          <w:color w:val="000000"/>
          <w:sz w:val="28"/>
          <w:szCs w:val="28"/>
        </w:rPr>
      </w:r>
      <w:r>
        <w:rPr>
          <w:rFonts w:hint="eastAsia"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hint="eastAsia"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hint="eastAsia"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1</w:t>
      </w:r>
      <w:r>
        <w:rPr>
          <w:rFonts w:ascii="仿宋_GB2312" w:hAnsi="黑体" w:eastAsia="仿宋_GB2312"/>
          <w:b/>
          <w:color w:val="000000"/>
          <w:sz w:val="24"/>
        </w:rPr>
        <w:t xml:space="preserve">）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有明显损伤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hint="eastAsia" w:ascii="仿宋_GB2312" w:eastAsia="仿宋_GB2312"/>
          <w:b/>
          <w:color w:val="000000"/>
          <w:sz w:val="28"/>
          <w:szCs w:val="28"/>
        </w:rPr>
      </w:pPr>
      <w:r/>
      <w:bookmarkStart w:id="38" w:name="_Toc16603102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液化石油气气瓶充装前外观检查(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4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号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瓶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)，操作程序</w:t>
      </w:r>
      <w:bookmarkEnd w:id="35"/>
      <w:r>
        <w:rPr>
          <w:rFonts w:hint="eastAsia" w:ascii="仿宋_GB2312" w:eastAsia="仿宋_GB2312"/>
          <w:b/>
          <w:color w:val="000000"/>
          <w:sz w:val="28"/>
          <w:szCs w:val="28"/>
        </w:rPr>
      </w:r>
      <w:r>
        <w:rPr>
          <w:rFonts w:hint="eastAsia"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hint="eastAsia"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hint="eastAsia"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</w:t>
      </w:r>
      <w:r>
        <w:rPr>
          <w:rFonts w:ascii="仿宋_GB2312" w:hAnsi="黑体" w:eastAsia="仿宋_GB2312"/>
          <w:b/>
          <w:color w:val="000000"/>
          <w:sz w:val="24"/>
        </w:rPr>
        <w:t xml:space="preserve">）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超过检验期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eastAsia="仿宋_GB2312"/>
          <w:b/>
          <w:color w:val="000000"/>
          <w:sz w:val="32"/>
          <w:szCs w:val="32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</w:t>
      </w:r>
      <w:r>
        <w:rPr>
          <w:rFonts w:ascii="仿宋_GB2312" w:hAnsi="黑体" w:eastAsia="仿宋_GB2312"/>
          <w:b/>
          <w:color w:val="000000"/>
          <w:sz w:val="24"/>
        </w:rPr>
        <w:t xml:space="preserve">）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外观颜色</w:t>
      </w:r>
      <w:r>
        <w:rPr>
          <w:rFonts w:ascii="仿宋_GB2312" w:hAnsi="黑体" w:eastAsia="仿宋_GB2312"/>
          <w:b/>
          <w:color w:val="000000"/>
          <w:sz w:val="24"/>
        </w:rPr>
        <w:t xml:space="preserve">不符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 </w:t>
      </w:r>
      <w:r>
        <w:rPr>
          <w:rFonts w:hint="eastAsia" w:ascii="仿宋_GB2312" w:eastAsia="仿宋_GB2312"/>
          <w:b/>
          <w:color w:val="000000"/>
          <w:sz w:val="32"/>
          <w:szCs w:val="32"/>
        </w:rPr>
      </w:r>
      <w:r>
        <w:rPr>
          <w:rFonts w:hint="eastAsia" w:ascii="仿宋_GB2312" w:eastAsia="仿宋_GB2312"/>
          <w:b/>
          <w:color w:val="000000"/>
          <w:sz w:val="32"/>
          <w:szCs w:val="32"/>
        </w:rPr>
      </w:r>
    </w:p>
    <w:p>
      <w:pPr>
        <w:pStyle w:val="654"/>
        <w:pBdr/>
        <w:spacing/>
        <w:ind/>
        <w:outlineLvl w:val="2"/>
        <w:rPr>
          <w:rFonts w:ascii="宋体" w:hAnsi="宋体"/>
        </w:rPr>
      </w:pPr>
      <w:r/>
      <w:bookmarkStart w:id="39" w:name="_Toc504204075"/>
      <w:r/>
      <w:bookmarkStart w:id="40" w:name="_Toc16603103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3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、液化石油气气瓶充装，操作程序</w:t>
      </w:r>
      <w:bookmarkEnd w:id="36"/>
      <w:r/>
      <w:bookmarkEnd w:id="37"/>
      <w:r>
        <w:rPr>
          <w:rFonts w:ascii="宋体" w:hAnsi="宋体"/>
        </w:rPr>
      </w:r>
      <w:r>
        <w:rPr>
          <w:rFonts w:ascii="宋体" w:hAnsi="宋体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（1）安装1号气瓶充装夹具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（2）安装2号气瓶充装夹具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（3）按下1号计量称按钮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（4）按下2号计量称按钮（已做好充装前重量记录）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（5）开启1号气瓶瓶阀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（6）开启2号气瓶瓶阀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（7）开启1号充装阀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（8）开启2号充装阀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（9）开启充装总阀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（10）开启1号充装夹具球阀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（11）开启2号充装夹具球阀（充装达到要求）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（12）关闭1号充装夹具球阀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（13）关闭2号充装夹具球阀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（14）关闭充装总阀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（15）开启排空阀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（16）关闭排空阀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（17）关闭1号气瓶瓶阀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（18）关闭2号气瓶瓶阀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（19）拆卸1号气瓶充装夹具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（20）拆卸2号气瓶充装夹具（已做好充装后重量记录）</w:t>
      </w:r>
      <w:r>
        <w:rPr>
          <w:rFonts w:hint="eastAsia" w:ascii="仿宋_GB2312" w:hAnsi="黑体" w:eastAsia="仿宋_GB2312"/>
          <w:b/>
          <w:color w:val="000000"/>
          <w:sz w:val="24"/>
        </w:rPr>
      </w:r>
      <w:r>
        <w:rPr>
          <w:rFonts w:hint="eastAsia"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41" w:name="_Toc504204079"/>
      <w:r/>
      <w:bookmarkStart w:id="42" w:name="_Toc16603104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4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、用计量秤检查液化石油气是否超过充装重量，操作程序</w:t>
      </w:r>
      <w:bookmarkEnd w:id="38"/>
      <w:r/>
      <w:bookmarkEnd w:id="39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（1）按下3号计量称按钮（充装重量正常，做好记录）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/>
      <w:bookmarkStart w:id="43" w:name="_Toc426721998"/>
      <w:r/>
      <w:bookmarkStart w:id="44" w:name="_Toc504204066"/>
      <w:r/>
      <w:bookmarkStart w:id="45" w:name="_Toc11403762"/>
      <w:r/>
      <w:bookmarkStart w:id="46" w:name="_Toc16603105"/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5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、压力表更换，操作程序</w:t>
      </w:r>
      <w:bookmarkEnd w:id="40"/>
      <w:r/>
      <w:bookmarkEnd w:id="41"/>
      <w:r/>
      <w:bookmarkEnd w:id="42"/>
      <w:r/>
      <w:bookmarkEnd w:id="43"/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（1）关闭压力表针型阀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（2）拆卸压力表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（3）安装压力表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（4）开启压力表针型阀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/>
        <w:rPr>
          <w:rFonts w:hint="eastAsia"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</w:r>
      <w:r>
        <w:rPr>
          <w:rFonts w:hint="eastAsia" w:ascii="仿宋_GB2312" w:hAnsi="黑体" w:eastAsia="仿宋_GB2312"/>
          <w:b/>
          <w:color w:val="000000"/>
          <w:sz w:val="24"/>
        </w:rPr>
      </w:r>
    </w:p>
    <w:p>
      <w:pPr>
        <w:pStyle w:val="679"/>
        <w:pBdr/>
        <w:spacing w:line="360" w:lineRule="auto"/>
        <w:ind w:hanging="251" w:left="356"/>
        <w:outlineLvl w:val="0"/>
        <w:rPr>
          <w:rFonts w:hint="eastAsia" w:ascii="仿宋_GB2312" w:eastAsia="仿宋_GB2312"/>
          <w:b/>
          <w:color w:val="000000"/>
          <w:sz w:val="32"/>
          <w:szCs w:val="32"/>
        </w:rPr>
      </w:pPr>
      <w:r/>
      <w:bookmarkStart w:id="47" w:name="_Toc16603106"/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三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、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应急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处理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 xml:space="preserve">操作</w:t>
      </w:r>
      <w:r>
        <w:rPr>
          <w:rFonts w:ascii="仿宋_GB2312" w:eastAsia="仿宋_GB2312"/>
          <w:b/>
          <w:color w:val="000000"/>
          <w:sz w:val="32"/>
          <w:szCs w:val="32"/>
        </w:rPr>
        <w:t xml:space="preserve">程序</w:t>
      </w:r>
      <w:bookmarkEnd w:id="44"/>
      <w:r>
        <w:rPr>
          <w:rFonts w:hint="eastAsia" w:ascii="仿宋_GB2312" w:eastAsia="仿宋_GB2312"/>
          <w:b/>
          <w:color w:val="000000"/>
          <w:sz w:val="32"/>
          <w:szCs w:val="32"/>
        </w:rPr>
      </w:r>
      <w:r>
        <w:rPr>
          <w:rFonts w:hint="eastAsia" w:ascii="仿宋_GB2312" w:eastAsia="仿宋_GB2312"/>
          <w:b/>
          <w:color w:val="000000"/>
          <w:sz w:val="32"/>
          <w:szCs w:val="32"/>
        </w:rPr>
      </w:r>
    </w:p>
    <w:p>
      <w:pPr>
        <w:pStyle w:val="654"/>
        <w:pBdr/>
        <w:spacing/>
        <w:ind/>
        <w:outlineLvl w:val="1"/>
        <w:rPr>
          <w:rFonts w:hint="eastAsia"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 xml:space="preserve">1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、抽真空操作</w:t>
      </w:r>
      <w:bookmarkEnd w:id="45"/>
      <w:r>
        <w:rPr>
          <w:rFonts w:hint="eastAsia" w:ascii="仿宋_GB2312" w:eastAsia="仿宋_GB2312"/>
          <w:color w:val="000000"/>
          <w:sz w:val="28"/>
          <w:szCs w:val="28"/>
        </w:rPr>
      </w:r>
      <w:r>
        <w:rPr>
          <w:rFonts w:hint="eastAsia"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40"/>
        <w:rPr>
          <w:rFonts w:hint="eastAsia" w:ascii="仿宋_GB2312" w:eastAsia="仿宋_GB2312"/>
          <w:color w:val="000000"/>
          <w:sz w:val="24"/>
        </w:rPr>
      </w:pPr>
      <w:r>
        <w:rPr>
          <w:rFonts w:ascii="仿宋_GB2312" w:eastAsia="仿宋_GB2312"/>
          <w:color w:val="000000"/>
          <w:sz w:val="24"/>
        </w:rPr>
        <w:t xml:space="preserve">A</w:t>
      </w:r>
      <w:r>
        <w:rPr>
          <w:rFonts w:hint="eastAsia" w:ascii="仿宋_GB2312" w:eastAsia="仿宋_GB2312"/>
          <w:color w:val="000000"/>
          <w:sz w:val="24"/>
        </w:rPr>
        <w:t xml:space="preserve">、操作内容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液化石油气气瓶抽真空</w:t>
      </w:r>
      <w:r>
        <w:rPr>
          <w:rFonts w:hint="eastAsia" w:ascii="仿宋_GB2312" w:eastAsia="仿宋_GB2312"/>
          <w:color w:val="000000"/>
          <w:sz w:val="24"/>
        </w:rPr>
        <w:t xml:space="preserve">处理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hint="eastAsia"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（1）将要抽真空的气瓶放置在抽真空的汇流排上，接好软管接头。检查真空泵是否完好，各阀门、接管是否处于无泄漏完好状态。</w:t>
      </w:r>
      <w:r>
        <w:rPr>
          <w:rFonts w:hint="eastAsia" w:ascii="仿宋_GB2312" w:hAnsi="黑体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hint="eastAsia"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（2）启动真空泵，当真空泵表指示为-0.1MPa时停泵</w:t>
      </w:r>
      <w:r>
        <w:rPr>
          <w:rFonts w:hint="eastAsia" w:ascii="仿宋_GB2312" w:hAnsi="黑体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hint="eastAsia"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（3）关闭气瓶阀和汇流排支阀，卸下软管接头。</w:t>
      </w:r>
      <w:r>
        <w:rPr>
          <w:rFonts w:hint="eastAsia" w:ascii="仿宋_GB2312" w:hAnsi="黑体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235"/>
        <w:rPr>
          <w:rFonts w:hint="eastAsia" w:ascii="仿宋_GB2312" w:hAnsi="黑体" w:eastAsia="仿宋_GB2312"/>
          <w:color w:val="000000"/>
          <w:sz w:val="24"/>
        </w:rPr>
      </w:pPr>
      <w:r>
        <w:rPr>
          <w:rFonts w:hint="eastAsia" w:ascii="仿宋_GB2312" w:hAnsi="黑体" w:eastAsia="仿宋_GB2312"/>
          <w:color w:val="000000"/>
          <w:sz w:val="24"/>
        </w:rPr>
        <w:t xml:space="preserve">（4）填写抽真空记录</w:t>
      </w:r>
      <w:r>
        <w:rPr>
          <w:rFonts w:hint="eastAsia" w:ascii="仿宋_GB2312" w:hAnsi="黑体" w:eastAsia="仿宋_GB2312"/>
          <w:color w:val="000000"/>
          <w:sz w:val="24"/>
        </w:rPr>
      </w:r>
      <w:r>
        <w:rPr>
          <w:rFonts w:hint="eastAsia" w:ascii="仿宋_GB2312" w:hAnsi="黑体" w:eastAsia="仿宋_GB2312"/>
          <w:color w:val="000000"/>
          <w:sz w:val="24"/>
        </w:rPr>
      </w:r>
    </w:p>
    <w:p>
      <w:pPr>
        <w:pStyle w:val="654"/>
        <w:pBdr/>
        <w:spacing/>
        <w:ind/>
        <w:outlineLvl w:val="1"/>
        <w:rPr>
          <w:rFonts w:hint="eastAsia"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 xml:space="preserve">2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、残液回收</w:t>
      </w:r>
      <w:bookmarkEnd w:id="46"/>
      <w:r>
        <w:rPr>
          <w:rFonts w:hint="eastAsia" w:ascii="仿宋_GB2312" w:eastAsia="仿宋_GB2312"/>
          <w:color w:val="000000"/>
          <w:sz w:val="28"/>
          <w:szCs w:val="28"/>
        </w:rPr>
      </w:r>
      <w:r>
        <w:rPr>
          <w:rFonts w:hint="eastAsia"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40"/>
        <w:rPr>
          <w:rFonts w:hint="eastAsia" w:ascii="仿宋_GB2312" w:eastAsia="仿宋_GB2312"/>
          <w:color w:val="000000"/>
          <w:sz w:val="24"/>
        </w:rPr>
      </w:pPr>
      <w:r>
        <w:rPr>
          <w:rFonts w:ascii="仿宋_GB2312" w:eastAsia="仿宋_GB2312"/>
          <w:color w:val="000000"/>
          <w:sz w:val="24"/>
        </w:rPr>
        <w:t xml:space="preserve">A</w:t>
      </w:r>
      <w:r>
        <w:rPr>
          <w:rFonts w:hint="eastAsia" w:ascii="仿宋_GB2312" w:eastAsia="仿宋_GB2312"/>
          <w:color w:val="000000"/>
          <w:sz w:val="24"/>
        </w:rPr>
        <w:t xml:space="preserve">、操作内容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（1）将超装气瓶与一只空瓶同时分别放在操作台上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（2）分别安装夹具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（3）分别缓慢</w:t>
      </w:r>
      <w:r>
        <w:rPr>
          <w:rFonts w:hint="eastAsia" w:ascii="仿宋_GB2312" w:eastAsia="仿宋_GB2312"/>
          <w:color w:val="000000"/>
          <w:sz w:val="24"/>
        </w:rPr>
        <w:t xml:space="preserve">开启</w:t>
      </w:r>
      <w:r>
        <w:rPr>
          <w:rFonts w:hint="eastAsia" w:ascii="仿宋_GB2312" w:eastAsia="仿宋_GB2312"/>
          <w:color w:val="000000"/>
          <w:sz w:val="24"/>
        </w:rPr>
        <w:t xml:space="preserve">两只气瓶瓶阀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（4）开启两只气瓶对应的分支阀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（5）待超装气瓶重量达到要求充装重量后，分别关闭两只气瓶瓶阀，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（6）关两只气瓶分支阀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（7）卸下夹具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（8）移出气瓶</w:t>
      </w:r>
      <w:r>
        <w:rPr>
          <w:rFonts w:hint="eastAsia" w:ascii="仿宋_GB2312" w:eastAsia="仿宋_GB2312"/>
          <w:color w:val="000000"/>
          <w:sz w:val="24"/>
        </w:rPr>
        <w:t xml:space="preserve">完成</w:t>
      </w:r>
      <w:r>
        <w:rPr>
          <w:rFonts w:hint="eastAsia" w:ascii="仿宋_GB2312" w:eastAsia="仿宋_GB2312"/>
          <w:color w:val="000000"/>
          <w:sz w:val="24"/>
        </w:rPr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/>
        <w:ind/>
        <w:outlineLvl w:val="1"/>
        <w:rPr>
          <w:rFonts w:hint="eastAsia"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 xml:space="preserve">3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、泄漏</w:t>
      </w:r>
      <w:bookmarkEnd w:id="47"/>
      <w:r>
        <w:rPr>
          <w:rFonts w:hint="eastAsia" w:ascii="仿宋_GB2312" w:eastAsia="仿宋_GB2312"/>
          <w:color w:val="000000"/>
          <w:sz w:val="28"/>
          <w:szCs w:val="28"/>
        </w:rPr>
      </w:r>
      <w:r>
        <w:rPr>
          <w:rFonts w:hint="eastAsia"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24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A、操作内容：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1）</w:t>
      </w:r>
      <w:r>
        <w:rPr>
          <w:rFonts w:hint="eastAsia" w:ascii="仿宋_GB2312" w:eastAsia="仿宋_GB2312"/>
          <w:color w:val="000000"/>
          <w:sz w:val="24"/>
        </w:rPr>
        <w:t xml:space="preserve">液化石油气充装间起火紧急</w:t>
      </w:r>
      <w:r>
        <w:rPr>
          <w:rFonts w:hint="eastAsia" w:ascii="仿宋_GB2312" w:eastAsia="仿宋_GB2312"/>
          <w:color w:val="000000"/>
          <w:sz w:val="24"/>
        </w:rPr>
        <w:t xml:space="preserve">处理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（1）关闭充装间液相总阀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（2）关闭烃泵进口阀门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（3）关闭烃泵出口阀门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（4）用灭火器和消防水控制火势、进行扑救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（5）对钢瓶进行转移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2）</w:t>
      </w:r>
      <w:r>
        <w:rPr>
          <w:rFonts w:hint="eastAsia" w:ascii="仿宋_GB2312" w:eastAsia="仿宋_GB2312"/>
          <w:color w:val="000000"/>
          <w:sz w:val="24"/>
        </w:rPr>
        <w:t xml:space="preserve">液化石油气泄漏或钢瓶角阀破裂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（1）关闭支路充装阀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（2）禁止一切车辆启动，禁止一切明火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（3）将角阀破裂的气瓶，拎到无人空旷处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（4）准备灭火器材，设置外围警戒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（5）等到浓度降至爆炸下线安全范围后，迅速报告分管领导进行处理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3）</w:t>
      </w:r>
      <w:r>
        <w:rPr>
          <w:rFonts w:hint="eastAsia" w:ascii="仿宋_GB2312" w:eastAsia="仿宋_GB2312"/>
          <w:color w:val="000000"/>
          <w:sz w:val="24"/>
        </w:rPr>
        <w:t xml:space="preserve">液化石油气钢瓶起火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（1）关闭支路充装阀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（2）禁止一切车辆启动，禁止一切明火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（3）将角阀破裂的气瓶，拎到无人空旷处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（4）准备灭火器材，设置外围警戒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（5）等到浓度降至爆炸下线安全范围后，迅速报告分管领导进行处理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6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、液化石油气气瓶抽真空处理，操作程序</w:t>
      </w:r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（1）安装抽真空夹具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（2）开启抽真空气瓶瓶阀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（3）开启抽真空阀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（4）启动真空泵（气瓶真空度达到要求）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（5）关闭抽真空气瓶瓶阀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（6）关闭抽真空阀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（7）停止真空泵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（8）拆卸抽真空夹具</w:t>
      </w:r>
      <w:r>
        <w:rPr>
          <w:rFonts w:hint="eastAsia" w:ascii="仿宋_GB2312" w:hAnsi="黑体" w:eastAsia="仿宋_GB2312"/>
          <w:b/>
          <w:color w:val="000000"/>
          <w:sz w:val="24"/>
        </w:rPr>
      </w:r>
      <w:r>
        <w:rPr>
          <w:rFonts w:hint="eastAsia"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7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、液化石油气气瓶体内残液回收，操作程序</w:t>
      </w:r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（1）开启气相阀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（2）开启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排</w:t>
      </w:r>
      <w:r>
        <w:rPr>
          <w:rFonts w:ascii="仿宋_GB2312" w:hAnsi="黑体" w:eastAsia="仿宋_GB2312"/>
          <w:b/>
          <w:color w:val="000000"/>
          <w:sz w:val="24"/>
        </w:rPr>
        <w:t xml:space="preserve">残液气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（3）关闭气相阀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（4）倒置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排</w:t>
      </w:r>
      <w:r>
        <w:rPr>
          <w:rFonts w:ascii="仿宋_GB2312" w:hAnsi="黑体" w:eastAsia="仿宋_GB2312"/>
          <w:b/>
          <w:color w:val="000000"/>
          <w:sz w:val="24"/>
        </w:rPr>
        <w:t xml:space="preserve">残液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气瓶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（5）开启排残液阀（排放达到要求）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（6）关闭排残液阀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（7）还原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排</w:t>
      </w:r>
      <w:r>
        <w:rPr>
          <w:rFonts w:ascii="仿宋_GB2312" w:hAnsi="黑体" w:eastAsia="仿宋_GB2312"/>
          <w:b/>
          <w:color w:val="000000"/>
          <w:sz w:val="24"/>
        </w:rPr>
        <w:t xml:space="preserve">残液气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瓶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（8）关闭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排</w:t>
      </w:r>
      <w:r>
        <w:rPr>
          <w:rFonts w:ascii="仿宋_GB2312" w:hAnsi="黑体" w:eastAsia="仿宋_GB2312"/>
          <w:b/>
          <w:color w:val="000000"/>
          <w:sz w:val="24"/>
        </w:rPr>
        <w:t xml:space="preserve">残液气</w:t>
      </w:r>
      <w:r>
        <w:rPr>
          <w:rFonts w:hint="eastAsia" w:ascii="仿宋_GB2312" w:hAnsi="黑体" w:eastAsia="仿宋_GB2312"/>
          <w:b/>
          <w:color w:val="000000"/>
          <w:sz w:val="24"/>
        </w:rPr>
        <w:t xml:space="preserve">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8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、液化石油气气瓶充装时管道泄漏，操作程序</w:t>
      </w:r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（1）关闭充装总阀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（2）关闭1号充装阀</w:t>
      </w:r>
      <w:r>
        <w:rPr>
          <w:rFonts w:ascii="仿宋_GB2312" w:hAnsi="黑体" w:eastAsia="仿宋_GB2312"/>
          <w:b/>
          <w:color w:val="000000"/>
          <w:sz w:val="24"/>
        </w:rPr>
        <w:tab/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（3）关闭2号充装阀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（4）关闭1号瓶瓶阀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（5）关闭2号瓶瓶阀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（6）开启排空阀</w:t>
      </w:r>
      <w:r>
        <w:rPr>
          <w:rFonts w:hint="eastAsia" w:ascii="仿宋_GB2312" w:hAnsi="黑体" w:eastAsia="仿宋_GB2312"/>
          <w:b/>
          <w:color w:val="000000"/>
          <w:sz w:val="24"/>
        </w:rPr>
      </w:r>
      <w:r>
        <w:rPr>
          <w:rFonts w:hint="eastAsia"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2"/>
        <w:rPr>
          <w:rFonts w:ascii="仿宋_GB2312" w:eastAsia="仿宋_GB2312"/>
          <w:b/>
          <w:color w:val="000000"/>
          <w:sz w:val="28"/>
          <w:szCs w:val="28"/>
        </w:rPr>
      </w:pP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试题</w:t>
      </w:r>
      <w:r>
        <w:rPr>
          <w:rFonts w:ascii="仿宋_GB2312" w:eastAsia="仿宋_GB2312"/>
          <w:b/>
          <w:color w:val="000000"/>
          <w:sz w:val="28"/>
          <w:szCs w:val="28"/>
        </w:rPr>
        <w:t xml:space="preserve">29</w:t>
      </w:r>
      <w:r>
        <w:rPr>
          <w:rFonts w:hint="eastAsia" w:ascii="仿宋_GB2312" w:eastAsia="仿宋_GB2312"/>
          <w:b/>
          <w:color w:val="000000"/>
          <w:sz w:val="28"/>
          <w:szCs w:val="28"/>
        </w:rPr>
        <w:t xml:space="preserve">、液化石油气气瓶充装过程中瓶体有泄漏或角阀破裂，操作程序（2号瓶）</w:t>
      </w:r>
      <w:r>
        <w:rPr>
          <w:rFonts w:ascii="仿宋_GB2312" w:eastAsia="仿宋_GB2312"/>
          <w:b/>
          <w:color w:val="000000"/>
          <w:sz w:val="28"/>
          <w:szCs w:val="28"/>
        </w:rPr>
      </w:r>
      <w:r>
        <w:rPr>
          <w:rFonts w:ascii="仿宋_GB2312" w:eastAsia="仿宋_GB2312"/>
          <w:b/>
          <w:color w:val="000000"/>
          <w:sz w:val="28"/>
          <w:szCs w:val="28"/>
        </w:rPr>
      </w:r>
    </w:p>
    <w:p>
      <w:pPr>
        <w:pStyle w:val="654"/>
        <w:pBdr/>
        <w:spacing/>
        <w:ind w:firstLine="118"/>
        <w:rPr>
          <w:rFonts w:ascii="仿宋_GB2312" w:eastAsia="仿宋_GB2312"/>
          <w:b/>
          <w:color w:val="000000"/>
          <w:sz w:val="24"/>
          <w:szCs w:val="20"/>
        </w:rPr>
      </w:pPr>
      <w:r>
        <w:rPr>
          <w:rFonts w:hint="eastAsia" w:ascii="仿宋_GB2312" w:eastAsia="仿宋_GB2312"/>
          <w:b/>
          <w:color w:val="000000"/>
          <w:sz w:val="24"/>
          <w:szCs w:val="20"/>
        </w:rPr>
        <w:t xml:space="preserve">B、操作程序：</w:t>
      </w:r>
      <w:r>
        <w:rPr>
          <w:rFonts w:ascii="仿宋_GB2312" w:eastAsia="仿宋_GB2312"/>
          <w:b/>
          <w:color w:val="000000"/>
          <w:sz w:val="24"/>
          <w:szCs w:val="20"/>
        </w:rPr>
      </w:r>
      <w:r>
        <w:rPr>
          <w:rFonts w:ascii="仿宋_GB2312" w:eastAsia="仿宋_GB2312"/>
          <w:b/>
          <w:color w:val="000000"/>
          <w:sz w:val="24"/>
          <w:szCs w:val="20"/>
        </w:rPr>
      </w:r>
    </w:p>
    <w:p>
      <w:pPr>
        <w:pStyle w:val="654"/>
        <w:pBdr/>
        <w:spacing w:line="360" w:lineRule="auto"/>
        <w:ind w:firstLine="236"/>
        <w:rPr>
          <w:rFonts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（1）关闭1号充装阀</w:t>
      </w:r>
      <w:r>
        <w:rPr>
          <w:rFonts w:ascii="仿宋_GB2312" w:hAnsi="黑体" w:eastAsia="仿宋_GB2312"/>
          <w:b/>
          <w:color w:val="000000"/>
          <w:sz w:val="24"/>
        </w:rPr>
      </w:r>
      <w:r>
        <w:rPr>
          <w:rFonts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 w:line="360" w:lineRule="auto"/>
        <w:ind w:firstLine="236"/>
        <w:rPr>
          <w:rFonts w:hint="eastAsia" w:ascii="仿宋_GB2312" w:hAnsi="黑体" w:eastAsia="仿宋_GB2312"/>
          <w:b/>
          <w:color w:val="000000"/>
          <w:sz w:val="24"/>
        </w:rPr>
      </w:pPr>
      <w:r>
        <w:rPr>
          <w:rFonts w:hint="eastAsia" w:ascii="仿宋_GB2312" w:hAnsi="黑体" w:eastAsia="仿宋_GB2312"/>
          <w:b/>
          <w:color w:val="000000"/>
          <w:sz w:val="24"/>
        </w:rPr>
        <w:t xml:space="preserve">（2）关闭1号气瓶瓶阀（做好标记和记录 将气瓶移至不合格存放区）</w:t>
      </w:r>
      <w:r>
        <w:rPr>
          <w:rFonts w:hint="eastAsia" w:ascii="仿宋_GB2312" w:hAnsi="黑体" w:eastAsia="仿宋_GB2312"/>
          <w:b/>
          <w:color w:val="000000"/>
          <w:sz w:val="24"/>
        </w:rPr>
      </w:r>
      <w:r>
        <w:rPr>
          <w:rFonts w:hint="eastAsia" w:ascii="仿宋_GB2312" w:hAnsi="黑体" w:eastAsia="仿宋_GB2312"/>
          <w:b/>
          <w:color w:val="000000"/>
          <w:sz w:val="24"/>
        </w:rPr>
      </w:r>
    </w:p>
    <w:p>
      <w:pPr>
        <w:pStyle w:val="654"/>
        <w:pBdr/>
        <w:spacing/>
        <w:ind/>
        <w:outlineLvl w:val="1"/>
        <w:rPr>
          <w:rFonts w:hint="eastAsia" w:ascii="仿宋_GB2312" w:eastAsia="仿宋_GB2312"/>
          <w:color w:val="000000"/>
          <w:sz w:val="28"/>
          <w:szCs w:val="28"/>
        </w:rPr>
      </w:pPr>
      <w:r>
        <w:rPr>
          <w:rFonts w:ascii="仿宋_GB2312" w:eastAsia="仿宋_GB2312"/>
          <w:color w:val="000000"/>
          <w:sz w:val="28"/>
          <w:szCs w:val="28"/>
        </w:rPr>
        <w:t xml:space="preserve">4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、注意事项</w:t>
      </w:r>
      <w:r>
        <w:rPr>
          <w:rFonts w:hint="eastAsia" w:ascii="仿宋_GB2312" w:eastAsia="仿宋_GB2312"/>
          <w:color w:val="000000"/>
          <w:sz w:val="28"/>
          <w:szCs w:val="28"/>
        </w:rPr>
      </w:r>
      <w:r>
        <w:rPr>
          <w:rFonts w:hint="eastAsia" w:ascii="仿宋_GB2312" w:eastAsia="仿宋_GB2312"/>
          <w:color w:val="000000"/>
          <w:sz w:val="28"/>
          <w:szCs w:val="28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（1）上岗作业人员应戴好充装作业人员证，穿棉布工作服和不带钉的鞋，以及工作手套，充装作业时，不得在台上穿，脱衣服。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（2）不得就地排放液化石油气，充装过程中，如发现钢瓶出现泄漏，要立即停止灌装，并及时回收瓶内液体。对超量充装的，要及时将超出量回收。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（3）禁止在充装台敲打气瓶、铁器、检修角阀，严禁拖、滚、碰撞气瓶，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hint="eastAsia"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（4）充装后经检查合格的气瓶，应粘贴警示标签和充装标签。</w:t>
      </w:r>
      <w:r>
        <w:rPr>
          <w:rFonts w:hint="eastAsia" w:ascii="仿宋_GB2312" w:eastAsia="仿宋_GB2312"/>
          <w:color w:val="000000"/>
          <w:sz w:val="24"/>
        </w:rPr>
      </w:r>
    </w:p>
    <w:p>
      <w:pPr>
        <w:pStyle w:val="654"/>
        <w:pBdr/>
        <w:spacing w:line="360" w:lineRule="auto"/>
        <w:ind w:firstLine="48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 xml:space="preserve">（5）在下班前，应检查各有关管路阀门开关状态是否正确。</w:t>
      </w:r>
      <w:r>
        <w:rPr>
          <w:rFonts w:ascii="仿宋_GB2312" w:eastAsia="仿宋_GB2312"/>
          <w:color w:val="000000"/>
          <w:sz w:val="24"/>
        </w:rPr>
      </w:r>
      <w:r>
        <w:rPr>
          <w:rFonts w:ascii="仿宋_GB2312" w:eastAsia="仿宋_GB2312"/>
          <w:color w:val="000000"/>
          <w:sz w:val="24"/>
        </w:rPr>
      </w:r>
    </w:p>
    <w:sectPr>
      <w:footerReference w:type="default" r:id="rId9"/>
      <w:footnotePr/>
      <w:endnotePr/>
      <w:type w:val="nextPage"/>
      <w:pgSz w:h="16838" w:orient="landscape" w:w="11906"/>
      <w:pgMar w:top="1440" w:right="1080" w:bottom="1440" w:left="1080" w:header="851" w:footer="992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panose1 w:val="02010609060101010101"/>
  </w:font>
  <w:font w:name="楷体">
    <w:panose1 w:val="02010609060101010101"/>
  </w:font>
  <w:font w:name="华文行楷">
    <w:panose1 w:val="02010600040101010101"/>
  </w:font>
  <w:font w:name="仿宋_GB2312">
    <w:panose1 w:val="02010609030101010101"/>
  </w:font>
  <w:font w:name="Cambria">
    <w:panose1 w:val="02040503050406030204"/>
  </w:font>
  <w:font w:name="楷体_GB2312">
    <w:panose1 w:val="02010609030101010101"/>
  </w:font>
  <w:font w:name="Arial">
    <w:panose1 w:val="020B0604020202020204"/>
  </w:font>
  <w:font w:name="Calibri">
    <w:panose1 w:val="020F0502020204030204"/>
  </w:font>
  <w:font w:name="等线">
    <w:panose1 w:val="02010600030101010101"/>
  </w:font>
  <w:font w:name="宋体">
    <w:panose1 w:val="02010600030101010101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8"/>
      <w:framePr w:hAnchor="margin" w:hRule="atLeast" w:vAnchor="text" w:wrap="around" w:xAlign="center" w:y="1"/>
      <w:pBdr/>
      <w:spacing/>
      <w:ind/>
      <w:rPr>
        <w:rStyle w:val="659"/>
      </w:rPr>
    </w:pPr>
    <w:r>
      <w:fldChar w:fldCharType="begin"/>
    </w:r>
    <w:r>
      <w:rPr>
        <w:rStyle w:val="659"/>
      </w:rPr>
      <w:instrText xml:space="preserve">PAGE  </w:instrText>
    </w:r>
    <w:r>
      <w:fldChar w:fldCharType="separate"/>
    </w:r>
    <w:r>
      <w:rPr>
        <w:rStyle w:val="659"/>
      </w:rPr>
      <w:t xml:space="preserve">I</w:t>
    </w:r>
    <w:r>
      <w:fldChar w:fldCharType="end"/>
    </w:r>
    <w:r>
      <w:rPr>
        <w:rStyle w:val="659"/>
      </w:rPr>
    </w:r>
    <w:r>
      <w:rPr>
        <w:rStyle w:val="659"/>
      </w:rPr>
    </w:r>
  </w:p>
  <w:p>
    <w:pPr>
      <w:pStyle w:val="66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8"/>
      <w:framePr w:hAnchor="margin" w:hRule="atLeast" w:vAnchor="text" w:wrap="around" w:xAlign="center" w:y="1"/>
      <w:pBdr/>
      <w:spacing/>
      <w:ind/>
      <w:rPr>
        <w:rStyle w:val="659"/>
      </w:rPr>
    </w:pPr>
    <w:r>
      <w:fldChar w:fldCharType="begin"/>
    </w:r>
    <w:r>
      <w:rPr>
        <w:rStyle w:val="659"/>
      </w:rPr>
      <w:instrText xml:space="preserve">PAGE  </w:instrText>
    </w:r>
    <w:r>
      <w:fldChar w:fldCharType="separate"/>
    </w:r>
    <w:r>
      <w:rPr>
        <w:rStyle w:val="659"/>
      </w:rPr>
      <w:t xml:space="preserve">9</w:t>
    </w:r>
    <w:r>
      <w:fldChar w:fldCharType="end"/>
    </w:r>
    <w:r>
      <w:rPr>
        <w:rStyle w:val="659"/>
      </w:rPr>
    </w:r>
    <w:r>
      <w:rPr>
        <w:rStyle w:val="659"/>
      </w:rPr>
    </w:r>
  </w:p>
  <w:p>
    <w:pPr>
      <w:pStyle w:val="66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4"/>
    <w:next w:val="654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4"/>
    <w:next w:val="654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4"/>
    <w:next w:val="654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4"/>
    <w:next w:val="654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4"/>
    <w:next w:val="654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4"/>
    <w:next w:val="654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4"/>
    <w:next w:val="654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4"/>
    <w:next w:val="654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4"/>
    <w:next w:val="654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4"/>
    <w:uiPriority w:val="34"/>
    <w:qFormat/>
    <w:pPr>
      <w:pBdr/>
      <w:spacing/>
      <w:ind w:left="720"/>
      <w:contextualSpacing w:val="true"/>
    </w:pPr>
  </w:style>
  <w:style w:type="paragraph" w:styleId="34">
    <w:name w:val="Title"/>
    <w:basedOn w:val="654"/>
    <w:next w:val="654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4"/>
    <w:next w:val="654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4"/>
    <w:next w:val="654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4"/>
    <w:next w:val="654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54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54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54"/>
    <w:next w:val="654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54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4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4"/>
    <w:next w:val="654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4"/>
    <w:next w:val="654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54"/>
    <w:next w:val="654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54"/>
    <w:next w:val="654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4"/>
    <w:next w:val="654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4"/>
    <w:next w:val="654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4"/>
    <w:next w:val="654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4"/>
    <w:next w:val="654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4"/>
    <w:next w:val="654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4"/>
    <w:next w:val="654"/>
    <w:uiPriority w:val="99"/>
    <w:unhideWhenUsed/>
    <w:pPr>
      <w:pBdr/>
      <w:spacing w:after="0" w:afterAutospacing="0"/>
      <w:ind/>
    </w:pPr>
  </w:style>
  <w:style w:type="paragraph" w:styleId="654" w:default="1">
    <w:name w:val="Normal"/>
    <w:next w:val="654"/>
    <w:link w:val="654"/>
    <w:qFormat/>
    <w:pPr>
      <w:widowControl w:val="false"/>
      <w:pBdr/>
      <w:spacing/>
      <w:ind/>
      <w:jc w:val="both"/>
    </w:pPr>
    <w:rPr>
      <w:sz w:val="21"/>
      <w:szCs w:val="24"/>
      <w:lang w:val="en-US" w:eastAsia="zh-CN" w:bidi="ar-SA"/>
    </w:rPr>
  </w:style>
  <w:style w:type="paragraph" w:styleId="655">
    <w:name w:val="标题 1"/>
    <w:basedOn w:val="654"/>
    <w:next w:val="654"/>
    <w:link w:val="654"/>
    <w:qFormat/>
    <w:pPr>
      <w:keepNext w:val="true"/>
      <w:keepLines w:val="true"/>
      <w:pBdr/>
      <w:spacing w:after="330" w:before="340" w:line="578" w:lineRule="auto"/>
      <w:ind/>
      <w:outlineLvl w:val="0"/>
    </w:pPr>
    <w:rPr>
      <w:b/>
      <w:bCs/>
      <w:sz w:val="44"/>
      <w:szCs w:val="44"/>
    </w:rPr>
  </w:style>
  <w:style w:type="character" w:styleId="656">
    <w:name w:val="默认段落字体"/>
    <w:next w:val="656"/>
    <w:link w:val="654"/>
    <w:semiHidden/>
    <w:pPr>
      <w:pBdr/>
      <w:spacing/>
      <w:ind/>
    </w:pPr>
  </w:style>
  <w:style w:type="table" w:styleId="657">
    <w:name w:val="普通表格"/>
    <w:next w:val="657"/>
    <w:link w:val="654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8">
    <w:name w:val="无列表"/>
    <w:next w:val="658"/>
    <w:link w:val="654"/>
    <w:uiPriority w:val="99"/>
    <w:semiHidden/>
    <w:unhideWhenUsed/>
    <w:pPr>
      <w:pBdr/>
      <w:spacing/>
      <w:ind/>
    </w:pPr>
  </w:style>
  <w:style w:type="character" w:styleId="659">
    <w:name w:val="页码"/>
    <w:basedOn w:val="656"/>
    <w:next w:val="659"/>
    <w:link w:val="654"/>
    <w:pPr>
      <w:pBdr/>
      <w:spacing/>
      <w:ind/>
    </w:pPr>
  </w:style>
  <w:style w:type="character" w:styleId="660">
    <w:name w:val="三级标题 Char Char"/>
    <w:next w:val="660"/>
    <w:link w:val="678"/>
    <w:pPr>
      <w:pBdr/>
      <w:spacing/>
      <w:ind/>
    </w:pPr>
    <w:rPr>
      <w:rFonts w:ascii="楷体_GB2312" w:hAnsi="宋体" w:eastAsia="楷体_GB2312"/>
      <w:b/>
      <w:bCs/>
      <w:sz w:val="28"/>
      <w:szCs w:val="28"/>
      <w:lang w:val="en-US" w:eastAsia="zh-CN" w:bidi="ar-SA"/>
    </w:rPr>
  </w:style>
  <w:style w:type="character" w:styleId="661">
    <w:name w:val="超链接"/>
    <w:next w:val="661"/>
    <w:link w:val="654"/>
    <w:uiPriority w:val="99"/>
    <w:pPr>
      <w:pBdr/>
      <w:spacing/>
      <w:ind/>
    </w:pPr>
    <w:rPr>
      <w:color w:val="0000ff"/>
      <w:u w:val="single"/>
    </w:rPr>
  </w:style>
  <w:style w:type="character" w:styleId="662">
    <w:name w:val="样式1 Char Char"/>
    <w:next w:val="662"/>
    <w:link w:val="681"/>
    <w:pPr>
      <w:pBdr/>
      <w:spacing/>
      <w:ind/>
    </w:pPr>
    <w:rPr>
      <w:rFonts w:ascii="楷体_GB2312" w:hAnsi="宋体" w:eastAsia="楷体_GB2312"/>
      <w:b/>
      <w:bCs/>
      <w:sz w:val="28"/>
      <w:szCs w:val="28"/>
      <w:lang w:val="en-US" w:eastAsia="zh-CN" w:bidi="ar-SA"/>
    </w:rPr>
  </w:style>
  <w:style w:type="paragraph" w:styleId="663">
    <w:name w:val="目录 1"/>
    <w:basedOn w:val="654"/>
    <w:next w:val="654"/>
    <w:link w:val="654"/>
    <w:uiPriority w:val="39"/>
    <w:pPr>
      <w:pBdr/>
      <w:spacing/>
      <w:ind/>
    </w:pPr>
  </w:style>
  <w:style w:type="paragraph" w:styleId="664">
    <w:name w:val="页眉"/>
    <w:basedOn w:val="654"/>
    <w:next w:val="664"/>
    <w:link w:val="654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paragraph" w:styleId="665">
    <w:name w:val="批注框文本"/>
    <w:basedOn w:val="654"/>
    <w:next w:val="665"/>
    <w:link w:val="654"/>
    <w:semiHidden/>
    <w:pPr>
      <w:pBdr/>
      <w:spacing/>
      <w:ind/>
    </w:pPr>
    <w:rPr>
      <w:sz w:val="18"/>
      <w:szCs w:val="18"/>
    </w:rPr>
  </w:style>
  <w:style w:type="paragraph" w:styleId="666">
    <w:name w:val="目录 7"/>
    <w:basedOn w:val="654"/>
    <w:next w:val="654"/>
    <w:link w:val="654"/>
    <w:pPr>
      <w:pBdr/>
      <w:spacing/>
      <w:ind w:left="2520"/>
    </w:pPr>
  </w:style>
  <w:style w:type="paragraph" w:styleId="667">
    <w:name w:val="二级标题"/>
    <w:basedOn w:val="654"/>
    <w:next w:val="667"/>
    <w:link w:val="654"/>
    <w:pPr>
      <w:pBdr/>
      <w:spacing/>
      <w:ind/>
    </w:pPr>
    <w:rPr>
      <w:rFonts w:ascii="楷体_GB2312" w:hAnsi="宋体" w:eastAsia="楷体_GB2312"/>
      <w:bCs/>
      <w:sz w:val="24"/>
    </w:rPr>
  </w:style>
  <w:style w:type="paragraph" w:styleId="668">
    <w:name w:val="页脚"/>
    <w:basedOn w:val="654"/>
    <w:next w:val="668"/>
    <w:link w:val="654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paragraph" w:styleId="669">
    <w:name w:val="目录 5"/>
    <w:basedOn w:val="654"/>
    <w:next w:val="654"/>
    <w:link w:val="654"/>
    <w:pPr>
      <w:pBdr/>
      <w:spacing/>
      <w:ind w:left="1680"/>
    </w:pPr>
  </w:style>
  <w:style w:type="paragraph" w:styleId="670">
    <w:name w:val="目录 8"/>
    <w:basedOn w:val="654"/>
    <w:next w:val="654"/>
    <w:link w:val="654"/>
    <w:pPr>
      <w:pBdr/>
      <w:spacing/>
      <w:ind w:left="2940"/>
    </w:pPr>
  </w:style>
  <w:style w:type="paragraph" w:styleId="671">
    <w:name w:val="目录 3"/>
    <w:basedOn w:val="654"/>
    <w:next w:val="654"/>
    <w:link w:val="654"/>
    <w:uiPriority w:val="39"/>
    <w:pPr>
      <w:pBdr/>
      <w:spacing/>
      <w:ind w:left="840"/>
    </w:pPr>
  </w:style>
  <w:style w:type="paragraph" w:styleId="672">
    <w:name w:val="目录 4"/>
    <w:basedOn w:val="654"/>
    <w:next w:val="654"/>
    <w:link w:val="654"/>
    <w:semiHidden/>
    <w:pPr>
      <w:pBdr/>
      <w:spacing/>
      <w:ind w:left="1260"/>
    </w:pPr>
  </w:style>
  <w:style w:type="paragraph" w:styleId="673">
    <w:name w:val="二二级标题"/>
    <w:basedOn w:val="680"/>
    <w:next w:val="673"/>
    <w:link w:val="654"/>
    <w:pPr>
      <w:pBdr/>
      <w:spacing/>
      <w:ind/>
    </w:pPr>
  </w:style>
  <w:style w:type="paragraph" w:styleId="674">
    <w:name w:val="目录 6"/>
    <w:basedOn w:val="654"/>
    <w:next w:val="654"/>
    <w:link w:val="654"/>
    <w:pPr>
      <w:pBdr/>
      <w:spacing/>
      <w:ind w:left="2100"/>
    </w:pPr>
  </w:style>
  <w:style w:type="paragraph" w:styleId="675">
    <w:name w:val="目录 2"/>
    <w:basedOn w:val="654"/>
    <w:next w:val="654"/>
    <w:link w:val="654"/>
    <w:uiPriority w:val="39"/>
    <w:pPr>
      <w:pBdr/>
      <w:spacing/>
      <w:ind w:left="420"/>
    </w:pPr>
  </w:style>
  <w:style w:type="paragraph" w:styleId="676">
    <w:name w:val="目录 9"/>
    <w:basedOn w:val="654"/>
    <w:next w:val="654"/>
    <w:link w:val="654"/>
    <w:pPr>
      <w:pBdr/>
      <w:spacing/>
      <w:ind w:left="3360"/>
    </w:pPr>
  </w:style>
  <w:style w:type="paragraph" w:styleId="677">
    <w:name w:val="标题"/>
    <w:basedOn w:val="654"/>
    <w:next w:val="654"/>
    <w:link w:val="654"/>
    <w:qFormat/>
    <w:pPr>
      <w:pBdr/>
      <w:spacing w:after="60" w:before="240"/>
      <w:ind/>
      <w:jc w:val="center"/>
      <w:outlineLvl w:val="0"/>
    </w:pPr>
    <w:rPr>
      <w:rFonts w:ascii="Cambria" w:hAnsi="Cambria" w:cs="Cambria"/>
      <w:b/>
      <w:bCs/>
      <w:sz w:val="32"/>
      <w:szCs w:val="32"/>
    </w:rPr>
  </w:style>
  <w:style w:type="paragraph" w:styleId="678">
    <w:name w:val="三级标题"/>
    <w:basedOn w:val="654"/>
    <w:next w:val="678"/>
    <w:link w:val="660"/>
    <w:pPr>
      <w:pBdr/>
      <w:spacing/>
      <w:ind w:firstLine="138"/>
      <w:outlineLvl w:val="0"/>
    </w:pPr>
    <w:rPr>
      <w:rFonts w:ascii="楷体_GB2312" w:hAnsi="宋体" w:eastAsia="楷体_GB2312"/>
      <w:b/>
      <w:bCs/>
      <w:sz w:val="28"/>
      <w:szCs w:val="28"/>
    </w:rPr>
  </w:style>
  <w:style w:type="paragraph" w:styleId="679">
    <w:name w:val="p0"/>
    <w:basedOn w:val="654"/>
    <w:next w:val="679"/>
    <w:link w:val="654"/>
    <w:pPr>
      <w:widowControl w:val="true"/>
      <w:pBdr/>
      <w:spacing/>
      <w:ind/>
    </w:pPr>
    <w:rPr>
      <w:rFonts w:ascii="Times New Roman" w:hAnsi="Times New Roman" w:eastAsia="宋体" w:cs="Times New Roman"/>
      <w:szCs w:val="21"/>
    </w:rPr>
  </w:style>
  <w:style w:type="paragraph" w:styleId="680">
    <w:name w:val="二级题纲"/>
    <w:basedOn w:val="654"/>
    <w:next w:val="680"/>
    <w:link w:val="654"/>
    <w:pPr>
      <w:pBdr/>
      <w:spacing/>
      <w:ind w:firstLine="353"/>
    </w:pPr>
    <w:rPr>
      <w:rFonts w:ascii="楷体_GB2312" w:hAnsi="宋体" w:eastAsia="楷体_GB2312"/>
      <w:bCs/>
      <w:sz w:val="24"/>
    </w:rPr>
  </w:style>
  <w:style w:type="paragraph" w:styleId="681">
    <w:name w:val="样式1"/>
    <w:basedOn w:val="654"/>
    <w:next w:val="681"/>
    <w:link w:val="662"/>
    <w:pPr>
      <w:pBdr/>
      <w:spacing/>
      <w:ind w:firstLine="413"/>
    </w:pPr>
    <w:rPr>
      <w:rFonts w:ascii="楷体_GB2312" w:hAnsi="宋体" w:eastAsia="楷体_GB2312"/>
      <w:b/>
      <w:bCs/>
      <w:sz w:val="28"/>
      <w:szCs w:val="28"/>
    </w:rPr>
  </w:style>
  <w:style w:type="paragraph" w:styleId="682">
    <w:name w:val="试题"/>
    <w:basedOn w:val="681"/>
    <w:next w:val="682"/>
    <w:link w:val="654"/>
    <w:pPr>
      <w:pBdr/>
      <w:spacing/>
      <w:ind w:firstLine="138"/>
      <w:outlineLvl w:val="0"/>
    </w:pPr>
  </w:style>
  <w:style w:type="paragraph" w:styleId="683">
    <w:name w:val="一级标题"/>
    <w:basedOn w:val="654"/>
    <w:next w:val="683"/>
    <w:link w:val="654"/>
    <w:pPr>
      <w:pBdr/>
      <w:spacing/>
      <w:ind/>
    </w:pPr>
    <w:rPr>
      <w:rFonts w:ascii="楷体_GB2312" w:hAnsi="宋体" w:eastAsia="楷体_GB2312"/>
      <w:sz w:val="28"/>
      <w:szCs w:val="28"/>
    </w:rPr>
  </w:style>
  <w:style w:type="paragraph" w:styleId="684">
    <w:name w:val="No Spacing"/>
    <w:next w:val="684"/>
    <w:link w:val="654"/>
    <w:pPr>
      <w:widowControl w:val="false"/>
      <w:pBdr/>
      <w:spacing/>
      <w:ind/>
      <w:jc w:val="both"/>
    </w:pPr>
    <w:rPr>
      <w:rFonts w:ascii="Calibri" w:hAnsi="Calibri"/>
      <w:sz w:val="21"/>
      <w:szCs w:val="22"/>
      <w:lang w:val="en-US" w:eastAsia="zh-CN" w:bidi="ar-SA"/>
    </w:rPr>
  </w:style>
  <w:style w:type="character" w:styleId="3141" w:default="1">
    <w:name w:val="Default Paragraph Font"/>
    <w:uiPriority w:val="1"/>
    <w:semiHidden/>
    <w:unhideWhenUsed/>
    <w:pPr>
      <w:pBdr/>
      <w:spacing/>
      <w:ind/>
    </w:pPr>
  </w:style>
  <w:style w:type="numbering" w:styleId="3142" w:default="1">
    <w:name w:val="No List"/>
    <w:uiPriority w:val="99"/>
    <w:semiHidden/>
    <w:unhideWhenUsed/>
    <w:pPr>
      <w:pBdr/>
      <w:spacing/>
      <w:ind/>
    </w:pPr>
  </w:style>
  <w:style w:type="table" w:styleId="3143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dlmd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工业燃油锅炉实际操作考核试题</dc:title>
  <dc:creator>gjl</dc:creator>
  <cp:lastModifiedBy>匿名</cp:lastModifiedBy>
  <cp:revision>233</cp:revision>
  <dcterms:created xsi:type="dcterms:W3CDTF">2008-11-07T06:17:00Z</dcterms:created>
  <dcterms:modified xsi:type="dcterms:W3CDTF">2026-04-20T04:29:50Z</dcterms:modified>
  <cp:version>917504</cp:version>
</cp:coreProperties>
</file>