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32C126">
      <w:pPr>
        <w:keepNext w:val="0"/>
        <w:keepLines w:val="0"/>
        <w:pageBreakBefore w:val="0"/>
        <w:widowControl w:val="0"/>
        <w:numPr>
          <w:ilvl w:val="0"/>
          <w:numId w:val="0"/>
        </w:numPr>
        <w:kinsoku/>
        <w:wordWrap/>
        <w:overflowPunct/>
        <w:topLinePunct w:val="0"/>
        <w:autoSpaceDE/>
        <w:autoSpaceDN/>
        <w:bidi w:val="0"/>
        <w:adjustRightInd/>
        <w:snapToGrid/>
        <w:spacing w:line="680" w:lineRule="exact"/>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w:t>
      </w:r>
      <w:r>
        <w:rPr>
          <w:rFonts w:hint="eastAsia" w:ascii="方正小标宋简体" w:hAnsi="方正小标宋简体" w:eastAsia="方正小标宋简体" w:cs="方正小标宋简体"/>
          <w:sz w:val="44"/>
          <w:szCs w:val="44"/>
        </w:rPr>
        <w:t>池州市支持工业经济高质量发展若干政策</w:t>
      </w:r>
      <w:r>
        <w:rPr>
          <w:rFonts w:hint="eastAsia" w:ascii="方正小标宋简体" w:hAnsi="方正小标宋简体" w:eastAsia="方正小标宋简体" w:cs="方正小标宋简体"/>
          <w:sz w:val="44"/>
          <w:szCs w:val="44"/>
          <w:lang w:val="en-US" w:eastAsia="zh-CN"/>
        </w:rPr>
        <w:t>〉</w:t>
      </w:r>
      <w:r>
        <w:rPr>
          <w:rFonts w:hint="eastAsia" w:ascii="方正小标宋简体" w:hAnsi="方正小标宋简体" w:eastAsia="方正小标宋简体" w:cs="方正小标宋简体"/>
          <w:sz w:val="44"/>
          <w:szCs w:val="44"/>
          <w:lang w:eastAsia="zh-CN"/>
        </w:rPr>
        <w:t>市场监管</w:t>
      </w:r>
      <w:r>
        <w:rPr>
          <w:rFonts w:hint="eastAsia" w:ascii="方正小标宋简体" w:hAnsi="方正小标宋简体" w:eastAsia="方正小标宋简体" w:cs="方正小标宋简体"/>
          <w:sz w:val="44"/>
          <w:szCs w:val="44"/>
        </w:rPr>
        <w:t>领域政策实施细则</w:t>
      </w:r>
      <w:r>
        <w:rPr>
          <w:rFonts w:hint="eastAsia" w:ascii="方正小标宋简体" w:hAnsi="方正小标宋简体" w:eastAsia="方正小标宋简体" w:cs="方正小标宋简体"/>
          <w:sz w:val="44"/>
          <w:szCs w:val="44"/>
          <w:lang w:val="en-US" w:eastAsia="zh-CN"/>
        </w:rPr>
        <w:t>》起草说明</w:t>
      </w:r>
    </w:p>
    <w:p w14:paraId="1B174484">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hint="eastAsia" w:ascii="方正小标宋简体" w:hAnsi="方正小标宋简体" w:eastAsia="方正小标宋简体" w:cs="方正小标宋简体"/>
          <w:sz w:val="32"/>
          <w:szCs w:val="32"/>
          <w:lang w:val="en-US" w:eastAsia="zh-CN"/>
        </w:rPr>
      </w:pPr>
    </w:p>
    <w:p w14:paraId="07B1C88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left"/>
        <w:textAlignment w:val="auto"/>
        <w:rPr>
          <w:color w:val="000000"/>
          <w:sz w:val="32"/>
          <w:szCs w:val="32"/>
        </w:rPr>
      </w:pPr>
      <w:r>
        <w:rPr>
          <w:rFonts w:ascii="宋体" w:hAnsi="宋体" w:eastAsia="宋体" w:cs="宋体"/>
          <w:color w:val="000000"/>
          <w:kern w:val="0"/>
          <w:sz w:val="32"/>
          <w:szCs w:val="32"/>
          <w:lang w:val="en-US" w:eastAsia="zh-CN" w:bidi="ar"/>
        </w:rPr>
        <w:t>为落实《池州市人民政府办公室关于印发池州市支持工业经济高质量发展若干政策的通知》（池政办〔2025〕39号）要求，规范市场监管领域奖补政策兑现流程，明确申报条件、材料清单与工作责任，</w:t>
      </w:r>
      <w:r>
        <w:rPr>
          <w:rFonts w:hint="eastAsia" w:ascii="宋体" w:hAnsi="宋体" w:eastAsia="宋体" w:cs="宋体"/>
          <w:color w:val="000000"/>
          <w:kern w:val="0"/>
          <w:sz w:val="32"/>
          <w:szCs w:val="32"/>
          <w:lang w:val="en-US" w:eastAsia="zh-CN" w:bidi="ar"/>
        </w:rPr>
        <w:t>市市场监管</w:t>
      </w:r>
      <w:r>
        <w:rPr>
          <w:rFonts w:ascii="宋体" w:hAnsi="宋体" w:eastAsia="宋体" w:cs="宋体"/>
          <w:color w:val="000000"/>
          <w:kern w:val="0"/>
          <w:sz w:val="32"/>
          <w:szCs w:val="32"/>
          <w:lang w:val="en-US" w:eastAsia="zh-CN" w:bidi="ar"/>
        </w:rPr>
        <w:t>局起草了本实施细则（征求意见稿）。现将有关情况说明如下：</w:t>
      </w:r>
    </w:p>
    <w:p w14:paraId="253A1AB1">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textAlignment w:val="auto"/>
        <w:outlineLvl w:val="1"/>
        <w:rPr>
          <w:color w:val="000000"/>
          <w:sz w:val="32"/>
          <w:szCs w:val="32"/>
        </w:rPr>
      </w:pPr>
      <w:r>
        <w:rPr>
          <w:rFonts w:hint="eastAsia" w:ascii="黑体" w:hAnsi="黑体" w:eastAsia="黑体" w:cs="黑体"/>
          <w:b w:val="0"/>
          <w:bCs w:val="0"/>
          <w:color w:val="000000"/>
          <w:sz w:val="32"/>
          <w:szCs w:val="32"/>
        </w:rPr>
        <w:t>一、起草背景与必要性</w:t>
      </w:r>
    </w:p>
    <w:p w14:paraId="2D01D96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left"/>
        <w:textAlignment w:val="auto"/>
        <w:rPr>
          <w:color w:val="000000"/>
          <w:sz w:val="32"/>
          <w:szCs w:val="32"/>
        </w:rPr>
      </w:pPr>
      <w:r>
        <w:rPr>
          <w:rFonts w:ascii="宋体" w:hAnsi="宋体" w:eastAsia="宋体" w:cs="宋体"/>
          <w:color w:val="000000"/>
          <w:kern w:val="0"/>
          <w:sz w:val="32"/>
          <w:szCs w:val="32"/>
          <w:lang w:val="en-US" w:eastAsia="zh-CN" w:bidi="ar"/>
        </w:rPr>
        <w:t>为深入推进池州市工业经济高质量发展，强化知识产权、标准、品牌、质量基础设施等领域政策支撑，切实打通政策落地“最后一公里”，确保奖补资金</w:t>
      </w:r>
      <w:r>
        <w:rPr>
          <w:rFonts w:hint="eastAsia" w:ascii="宋体" w:hAnsi="宋体" w:eastAsia="宋体" w:cs="宋体"/>
          <w:color w:val="000000"/>
          <w:kern w:val="0"/>
          <w:sz w:val="32"/>
          <w:szCs w:val="32"/>
          <w:lang w:val="en-US" w:eastAsia="zh-CN" w:bidi="ar"/>
        </w:rPr>
        <w:t>规范</w:t>
      </w:r>
      <w:r>
        <w:rPr>
          <w:rFonts w:ascii="宋体" w:hAnsi="宋体" w:eastAsia="宋体" w:cs="宋体"/>
          <w:color w:val="000000"/>
          <w:kern w:val="0"/>
          <w:sz w:val="32"/>
          <w:szCs w:val="32"/>
          <w:lang w:val="en-US" w:eastAsia="zh-CN" w:bidi="ar"/>
        </w:rPr>
        <w:t>、高效、安全兑现，结合市场监管职能与企业实际需求，制定本实施细则，为政策执行提供统一、可操作的依据。</w:t>
      </w:r>
    </w:p>
    <w:p w14:paraId="071DB11F">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textAlignment w:val="auto"/>
        <w:outlineLvl w:val="1"/>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二、起草依据</w:t>
      </w:r>
    </w:p>
    <w:p w14:paraId="1E63B03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left"/>
        <w:textAlignment w:val="auto"/>
        <w:rPr>
          <w:color w:val="000000"/>
          <w:sz w:val="32"/>
          <w:szCs w:val="32"/>
        </w:rPr>
      </w:pPr>
      <w:r>
        <w:rPr>
          <w:rFonts w:hint="eastAsia"/>
          <w:color w:val="000000"/>
          <w:sz w:val="32"/>
          <w:szCs w:val="32"/>
          <w:lang w:val="en-US" w:eastAsia="zh-CN"/>
        </w:rPr>
        <w:t>1.</w:t>
      </w:r>
      <w:r>
        <w:rPr>
          <w:color w:val="000000"/>
          <w:sz w:val="32"/>
          <w:szCs w:val="32"/>
        </w:rPr>
        <w:t>《池州市人民政府办公室关于印发池州市支持工业经济高质量发展若干政策的通知》（池政办〔2025〕39号）</w:t>
      </w:r>
    </w:p>
    <w:p w14:paraId="7F82F61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left"/>
        <w:textAlignment w:val="auto"/>
        <w:rPr>
          <w:color w:val="000000"/>
          <w:sz w:val="32"/>
          <w:szCs w:val="32"/>
        </w:rPr>
      </w:pPr>
      <w:r>
        <w:rPr>
          <w:rFonts w:hint="eastAsia"/>
          <w:color w:val="000000"/>
          <w:sz w:val="32"/>
          <w:szCs w:val="32"/>
          <w:lang w:val="en-US" w:eastAsia="zh-CN"/>
        </w:rPr>
        <w:t>2.</w:t>
      </w:r>
      <w:r>
        <w:rPr>
          <w:color w:val="000000"/>
          <w:sz w:val="32"/>
          <w:szCs w:val="32"/>
        </w:rPr>
        <w:t>《池州市人民政府办公室关于印发池州市支持产业发展政策资金管理办法的通知》（池政办〔2025〕37号）</w:t>
      </w:r>
    </w:p>
    <w:p w14:paraId="436C0B8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left"/>
        <w:textAlignment w:val="auto"/>
        <w:rPr>
          <w:color w:val="000000"/>
          <w:sz w:val="32"/>
          <w:szCs w:val="32"/>
        </w:rPr>
      </w:pPr>
      <w:r>
        <w:rPr>
          <w:rFonts w:hint="eastAsia"/>
          <w:color w:val="000000"/>
          <w:sz w:val="32"/>
          <w:szCs w:val="32"/>
          <w:lang w:val="en-US" w:eastAsia="zh-CN"/>
        </w:rPr>
        <w:t>3.</w:t>
      </w:r>
      <w:r>
        <w:rPr>
          <w:color w:val="000000"/>
          <w:sz w:val="32"/>
          <w:szCs w:val="32"/>
        </w:rPr>
        <w:t>国家及省关于评比表彰、标准化、知识产权、品牌建设等相关文件规定</w:t>
      </w:r>
    </w:p>
    <w:p w14:paraId="13B16848">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textAlignment w:val="auto"/>
        <w:outlineLvl w:val="1"/>
        <w:rPr>
          <w:color w:val="000000"/>
          <w:sz w:val="32"/>
          <w:szCs w:val="32"/>
        </w:rPr>
      </w:pPr>
      <w:r>
        <w:rPr>
          <w:rFonts w:hint="eastAsia" w:ascii="黑体" w:hAnsi="黑体" w:eastAsia="黑体" w:cs="黑体"/>
          <w:b w:val="0"/>
          <w:bCs w:val="0"/>
          <w:color w:val="000000"/>
          <w:sz w:val="32"/>
          <w:szCs w:val="32"/>
        </w:rPr>
        <w:t>三、起草过程</w:t>
      </w:r>
    </w:p>
    <w:p w14:paraId="04ECE51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3" w:firstLineChars="200"/>
        <w:jc w:val="left"/>
        <w:textAlignment w:val="auto"/>
        <w:rPr>
          <w:rFonts w:hint="eastAsia" w:eastAsiaTheme="minorEastAsia"/>
          <w:color w:val="000000"/>
          <w:sz w:val="32"/>
          <w:szCs w:val="32"/>
          <w:lang w:eastAsia="zh-CN"/>
        </w:rPr>
      </w:pPr>
      <w:r>
        <w:rPr>
          <w:rStyle w:val="10"/>
          <w:rFonts w:hint="eastAsia"/>
          <w:b/>
          <w:bCs/>
          <w:color w:val="000000"/>
          <w:sz w:val="32"/>
          <w:szCs w:val="32"/>
          <w:lang w:val="en-US" w:eastAsia="zh-CN"/>
        </w:rPr>
        <w:t>2025年9月30日，</w:t>
      </w:r>
      <w:r>
        <w:rPr>
          <w:rFonts w:ascii="宋体" w:hAnsi="宋体" w:eastAsia="宋体" w:cs="宋体"/>
          <w:color w:val="000000"/>
          <w:kern w:val="0"/>
          <w:sz w:val="32"/>
          <w:szCs w:val="32"/>
          <w:lang w:val="en-US" w:eastAsia="zh-CN" w:bidi="ar"/>
        </w:rPr>
        <w:t>池州市人民政府办公室</w:t>
      </w:r>
      <w:r>
        <w:rPr>
          <w:rFonts w:hint="eastAsia" w:ascii="宋体" w:hAnsi="宋体" w:eastAsia="宋体" w:cs="宋体"/>
          <w:color w:val="000000"/>
          <w:kern w:val="0"/>
          <w:sz w:val="32"/>
          <w:szCs w:val="32"/>
          <w:lang w:val="en-US" w:eastAsia="zh-CN" w:bidi="ar"/>
        </w:rPr>
        <w:t>印发《池州市支持工业经济高质量发展若干政策》（</w:t>
      </w:r>
      <w:r>
        <w:rPr>
          <w:rFonts w:ascii="宋体" w:hAnsi="宋体" w:eastAsia="宋体" w:cs="宋体"/>
          <w:color w:val="000000"/>
          <w:kern w:val="0"/>
          <w:sz w:val="32"/>
          <w:szCs w:val="32"/>
          <w:lang w:val="en-US" w:eastAsia="zh-CN" w:bidi="ar"/>
        </w:rPr>
        <w:t>池政办〔2025〕39号</w:t>
      </w:r>
      <w:r>
        <w:rPr>
          <w:rFonts w:hint="eastAsia" w:ascii="宋体" w:hAnsi="宋体" w:eastAsia="宋体" w:cs="宋体"/>
          <w:color w:val="000000"/>
          <w:kern w:val="0"/>
          <w:sz w:val="32"/>
          <w:szCs w:val="32"/>
          <w:lang w:val="en-US" w:eastAsia="zh-CN" w:bidi="ar"/>
        </w:rPr>
        <w:t>）后，我局高度重视，</w:t>
      </w:r>
      <w:r>
        <w:rPr>
          <w:rFonts w:ascii="宋体" w:hAnsi="宋体" w:eastAsia="宋体" w:cs="宋体"/>
          <w:color w:val="000000"/>
          <w:kern w:val="0"/>
          <w:sz w:val="32"/>
          <w:szCs w:val="32"/>
          <w:lang w:val="en-US" w:eastAsia="zh-CN" w:bidi="ar"/>
        </w:rPr>
        <w:t>对照文件</w:t>
      </w:r>
      <w:r>
        <w:rPr>
          <w:color w:val="000000"/>
          <w:sz w:val="32"/>
          <w:szCs w:val="32"/>
        </w:rPr>
        <w:t>逐项拆解市场监管领域奖补</w:t>
      </w:r>
      <w:r>
        <w:rPr>
          <w:rFonts w:hint="eastAsia" w:ascii="宋体" w:hAnsi="宋体" w:eastAsia="宋体" w:cs="宋体"/>
          <w:color w:val="000000"/>
          <w:kern w:val="0"/>
          <w:sz w:val="32"/>
          <w:szCs w:val="32"/>
          <w:lang w:val="en-US" w:eastAsia="zh-CN" w:bidi="ar"/>
        </w:rPr>
        <w:t>事项。于2025年11月份成立实施细则起草专班，期间走访30余家市场主体开展政策实施调研，2次会同市财政局进行专题会商。严格遵循“程序规范、操作简便、权责明确、公正透明”</w:t>
      </w:r>
      <w:r>
        <w:rPr>
          <w:color w:val="000000"/>
          <w:sz w:val="32"/>
          <w:szCs w:val="32"/>
        </w:rPr>
        <w:t>原则，优化</w:t>
      </w:r>
      <w:r>
        <w:rPr>
          <w:rFonts w:hint="eastAsia"/>
          <w:color w:val="000000"/>
          <w:sz w:val="32"/>
          <w:szCs w:val="32"/>
          <w:lang w:eastAsia="zh-CN"/>
        </w:rPr>
        <w:t>政策兑现</w:t>
      </w:r>
      <w:r>
        <w:rPr>
          <w:color w:val="000000"/>
          <w:sz w:val="32"/>
          <w:szCs w:val="32"/>
        </w:rPr>
        <w:t>流程</w:t>
      </w:r>
      <w:r>
        <w:rPr>
          <w:rFonts w:hint="eastAsia"/>
          <w:color w:val="000000"/>
          <w:sz w:val="32"/>
          <w:szCs w:val="32"/>
          <w:lang w:eastAsia="zh-CN"/>
        </w:rPr>
        <w:t>，</w:t>
      </w:r>
      <w:r>
        <w:rPr>
          <w:color w:val="000000"/>
          <w:sz w:val="32"/>
          <w:szCs w:val="32"/>
        </w:rPr>
        <w:t>精简材料要求</w:t>
      </w:r>
      <w:r>
        <w:rPr>
          <w:rFonts w:hint="eastAsia"/>
          <w:color w:val="000000"/>
          <w:sz w:val="32"/>
          <w:szCs w:val="32"/>
          <w:lang w:eastAsia="zh-CN"/>
        </w:rPr>
        <w:t>，</w:t>
      </w:r>
      <w:r>
        <w:rPr>
          <w:color w:val="000000"/>
          <w:sz w:val="32"/>
          <w:szCs w:val="32"/>
        </w:rPr>
        <w:t>区分</w:t>
      </w:r>
      <w:r>
        <w:rPr>
          <w:rFonts w:hint="eastAsia"/>
          <w:color w:val="000000"/>
          <w:sz w:val="32"/>
          <w:szCs w:val="32"/>
          <w:lang w:eastAsia="zh-CN"/>
        </w:rPr>
        <w:t>“</w:t>
      </w:r>
      <w:r>
        <w:rPr>
          <w:color w:val="000000"/>
          <w:sz w:val="32"/>
          <w:szCs w:val="32"/>
        </w:rPr>
        <w:t>免申即享</w:t>
      </w:r>
      <w:r>
        <w:rPr>
          <w:rFonts w:hint="eastAsia"/>
          <w:color w:val="000000"/>
          <w:sz w:val="32"/>
          <w:szCs w:val="32"/>
          <w:lang w:eastAsia="zh-CN"/>
        </w:rPr>
        <w:t>”“</w:t>
      </w:r>
      <w:r>
        <w:rPr>
          <w:color w:val="000000"/>
          <w:sz w:val="32"/>
          <w:szCs w:val="32"/>
        </w:rPr>
        <w:t>评审</w:t>
      </w:r>
      <w:r>
        <w:rPr>
          <w:rFonts w:hint="eastAsia"/>
          <w:color w:val="000000"/>
          <w:sz w:val="32"/>
          <w:szCs w:val="32"/>
          <w:lang w:eastAsia="zh-CN"/>
        </w:rPr>
        <w:t>”</w:t>
      </w:r>
      <w:r>
        <w:rPr>
          <w:color w:val="000000"/>
          <w:sz w:val="32"/>
          <w:szCs w:val="32"/>
        </w:rPr>
        <w:t>两类兑现方式，统一审核、公示、拨付流程</w:t>
      </w:r>
      <w:r>
        <w:rPr>
          <w:rFonts w:hint="eastAsia"/>
          <w:color w:val="000000"/>
          <w:sz w:val="32"/>
          <w:szCs w:val="32"/>
          <w:lang w:eastAsia="zh-CN"/>
        </w:rPr>
        <w:t>，规范设置细则条款。</w:t>
      </w:r>
      <w:r>
        <w:rPr>
          <w:rFonts w:hint="eastAsia" w:ascii="宋体" w:hAnsi="宋体" w:eastAsia="宋体" w:cs="宋体"/>
          <w:color w:val="auto"/>
          <w:kern w:val="0"/>
          <w:sz w:val="32"/>
          <w:szCs w:val="32"/>
          <w:lang w:val="en-US" w:eastAsia="zh-CN" w:bidi="ar"/>
        </w:rPr>
        <w:t>于2025年12月</w:t>
      </w:r>
      <w:r>
        <w:rPr>
          <w:rFonts w:hint="default" w:ascii="宋体" w:hAnsi="宋体" w:eastAsia="宋体" w:cs="宋体"/>
          <w:color w:val="auto"/>
          <w:kern w:val="0"/>
          <w:sz w:val="32"/>
          <w:szCs w:val="32"/>
          <w:lang w:eastAsia="zh-CN" w:bidi="ar"/>
          <w:woUserID w:val="1"/>
        </w:rPr>
        <w:t>1</w:t>
      </w:r>
      <w:r>
        <w:rPr>
          <w:rFonts w:hint="eastAsia" w:ascii="宋体" w:hAnsi="宋体" w:eastAsia="宋体" w:cs="宋体"/>
          <w:color w:val="auto"/>
          <w:kern w:val="0"/>
          <w:sz w:val="32"/>
          <w:szCs w:val="32"/>
          <w:lang w:val="en-US" w:eastAsia="zh-CN" w:bidi="ar"/>
          <w:woUserID w:val="1"/>
        </w:rPr>
        <w:t>8</w:t>
      </w:r>
      <w:r>
        <w:rPr>
          <w:rFonts w:hint="eastAsia" w:ascii="宋体" w:hAnsi="宋体" w:eastAsia="宋体" w:cs="宋体"/>
          <w:color w:val="auto"/>
          <w:kern w:val="0"/>
          <w:sz w:val="32"/>
          <w:szCs w:val="32"/>
          <w:lang w:val="en-US" w:eastAsia="zh-CN" w:bidi="ar"/>
        </w:rPr>
        <w:t>日</w:t>
      </w:r>
      <w:bookmarkStart w:id="0" w:name="_GoBack"/>
      <w:bookmarkEnd w:id="0"/>
      <w:r>
        <w:rPr>
          <w:color w:val="auto"/>
          <w:sz w:val="32"/>
          <w:szCs w:val="32"/>
        </w:rPr>
        <w:t>形</w:t>
      </w:r>
      <w:r>
        <w:rPr>
          <w:color w:val="000000"/>
          <w:sz w:val="32"/>
          <w:szCs w:val="32"/>
        </w:rPr>
        <w:t>成征求意见稿，按规定向社会公开征求意见</w:t>
      </w:r>
      <w:r>
        <w:rPr>
          <w:rFonts w:hint="eastAsia"/>
          <w:color w:val="000000"/>
          <w:sz w:val="32"/>
          <w:szCs w:val="32"/>
          <w:lang w:eastAsia="zh-CN"/>
        </w:rPr>
        <w:t>。</w:t>
      </w:r>
    </w:p>
    <w:p w14:paraId="27F95935">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textAlignment w:val="auto"/>
        <w:outlineLvl w:val="1"/>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四、主要内容</w:t>
      </w:r>
    </w:p>
    <w:p w14:paraId="30A0509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left"/>
        <w:textAlignment w:val="auto"/>
        <w:rPr>
          <w:color w:val="000000"/>
          <w:sz w:val="32"/>
          <w:szCs w:val="32"/>
        </w:rPr>
      </w:pPr>
      <w:r>
        <w:rPr>
          <w:rFonts w:ascii="宋体" w:hAnsi="宋体" w:eastAsia="宋体" w:cs="宋体"/>
          <w:color w:val="000000"/>
          <w:kern w:val="0"/>
          <w:sz w:val="32"/>
          <w:szCs w:val="32"/>
          <w:lang w:val="en-US" w:eastAsia="zh-CN" w:bidi="ar"/>
        </w:rPr>
        <w:t>细则共</w:t>
      </w:r>
      <w:r>
        <w:rPr>
          <w:rStyle w:val="10"/>
          <w:rFonts w:ascii="宋体" w:hAnsi="宋体" w:eastAsia="宋体" w:cs="宋体"/>
          <w:b/>
          <w:bCs/>
          <w:color w:val="000000"/>
          <w:kern w:val="0"/>
          <w:sz w:val="32"/>
          <w:szCs w:val="32"/>
          <w:lang w:val="en-US" w:eastAsia="zh-CN" w:bidi="ar"/>
        </w:rPr>
        <w:t>五部分</w:t>
      </w:r>
      <w:r>
        <w:rPr>
          <w:rFonts w:ascii="宋体" w:hAnsi="宋体" w:eastAsia="宋体" w:cs="宋体"/>
          <w:color w:val="000000"/>
          <w:kern w:val="0"/>
          <w:sz w:val="32"/>
          <w:szCs w:val="32"/>
          <w:lang w:val="en-US" w:eastAsia="zh-CN" w:bidi="ar"/>
        </w:rPr>
        <w:t>，附</w:t>
      </w:r>
      <w:r>
        <w:rPr>
          <w:rStyle w:val="10"/>
          <w:rFonts w:ascii="宋体" w:hAnsi="宋体" w:eastAsia="宋体" w:cs="宋体"/>
          <w:b/>
          <w:bCs/>
          <w:color w:val="000000"/>
          <w:kern w:val="0"/>
          <w:sz w:val="32"/>
          <w:szCs w:val="32"/>
          <w:lang w:val="en-US" w:eastAsia="zh-CN" w:bidi="ar"/>
        </w:rPr>
        <w:t>5个附件</w:t>
      </w:r>
      <w:r>
        <w:rPr>
          <w:rFonts w:ascii="宋体" w:hAnsi="宋体" w:eastAsia="宋体" w:cs="宋体"/>
          <w:color w:val="000000"/>
          <w:kern w:val="0"/>
          <w:sz w:val="32"/>
          <w:szCs w:val="32"/>
          <w:lang w:val="en-US" w:eastAsia="zh-CN" w:bidi="ar"/>
        </w:rPr>
        <w:t>，</w:t>
      </w:r>
      <w:r>
        <w:rPr>
          <w:rFonts w:hint="eastAsia" w:ascii="宋体" w:hAnsi="宋体" w:eastAsia="宋体" w:cs="宋体"/>
          <w:color w:val="000000"/>
          <w:kern w:val="0"/>
          <w:sz w:val="32"/>
          <w:szCs w:val="32"/>
          <w:lang w:val="en-US" w:eastAsia="zh-CN" w:bidi="ar"/>
        </w:rPr>
        <w:t>主要</w:t>
      </w:r>
      <w:r>
        <w:rPr>
          <w:rFonts w:ascii="宋体" w:hAnsi="宋体" w:eastAsia="宋体" w:cs="宋体"/>
          <w:color w:val="000000"/>
          <w:kern w:val="0"/>
          <w:sz w:val="32"/>
          <w:szCs w:val="32"/>
          <w:lang w:val="en-US" w:eastAsia="zh-CN" w:bidi="ar"/>
        </w:rPr>
        <w:t>内容如下：</w:t>
      </w:r>
    </w:p>
    <w:p w14:paraId="53DFBE5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3" w:firstLineChars="200"/>
        <w:jc w:val="left"/>
        <w:textAlignment w:val="auto"/>
        <w:rPr>
          <w:color w:val="000000"/>
          <w:sz w:val="32"/>
          <w:szCs w:val="32"/>
        </w:rPr>
      </w:pPr>
      <w:r>
        <w:rPr>
          <w:rStyle w:val="10"/>
          <w:rFonts w:hint="eastAsia"/>
          <w:b/>
          <w:bCs/>
          <w:color w:val="000000"/>
          <w:sz w:val="32"/>
          <w:szCs w:val="32"/>
          <w:lang w:val="en-US" w:eastAsia="zh-CN"/>
        </w:rPr>
        <w:t>1.</w:t>
      </w:r>
      <w:r>
        <w:rPr>
          <w:rStyle w:val="10"/>
          <w:b/>
          <w:bCs/>
          <w:color w:val="000000"/>
          <w:sz w:val="32"/>
          <w:szCs w:val="32"/>
        </w:rPr>
        <w:t>申报对象</w:t>
      </w:r>
      <w:r>
        <w:rPr>
          <w:color w:val="000000"/>
          <w:sz w:val="32"/>
          <w:szCs w:val="32"/>
        </w:rPr>
        <w:t>：本市依法经营，无重大环保、安全生产事故及失信记录的企业或单位。</w:t>
      </w:r>
    </w:p>
    <w:p w14:paraId="7BCD745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3" w:firstLineChars="200"/>
        <w:jc w:val="left"/>
        <w:textAlignment w:val="auto"/>
        <w:rPr>
          <w:color w:val="000000"/>
          <w:sz w:val="32"/>
          <w:szCs w:val="32"/>
        </w:rPr>
      </w:pPr>
      <w:r>
        <w:rPr>
          <w:rStyle w:val="10"/>
          <w:rFonts w:hint="eastAsia"/>
          <w:b/>
          <w:bCs/>
          <w:color w:val="000000"/>
          <w:sz w:val="32"/>
          <w:szCs w:val="32"/>
          <w:lang w:val="en-US" w:eastAsia="zh-CN"/>
        </w:rPr>
        <w:t>2.</w:t>
      </w:r>
      <w:r>
        <w:rPr>
          <w:rStyle w:val="10"/>
          <w:b/>
          <w:bCs/>
          <w:color w:val="000000"/>
          <w:sz w:val="32"/>
          <w:szCs w:val="32"/>
        </w:rPr>
        <w:t>申报流程</w:t>
      </w:r>
      <w:r>
        <w:rPr>
          <w:color w:val="000000"/>
          <w:sz w:val="32"/>
          <w:szCs w:val="32"/>
        </w:rPr>
        <w:t>：实行</w:t>
      </w:r>
      <w:r>
        <w:rPr>
          <w:rFonts w:hint="eastAsia"/>
          <w:color w:val="000000"/>
          <w:sz w:val="32"/>
          <w:szCs w:val="32"/>
          <w:lang w:eastAsia="zh-CN"/>
        </w:rPr>
        <w:t>“</w:t>
      </w:r>
      <w:r>
        <w:rPr>
          <w:color w:val="000000"/>
          <w:sz w:val="32"/>
          <w:szCs w:val="32"/>
        </w:rPr>
        <w:t>县级先兑付、市级后补助</w:t>
      </w:r>
      <w:r>
        <w:rPr>
          <w:rFonts w:hint="eastAsia"/>
          <w:color w:val="000000"/>
          <w:sz w:val="32"/>
          <w:szCs w:val="32"/>
          <w:lang w:eastAsia="zh-CN"/>
        </w:rPr>
        <w:t>”</w:t>
      </w:r>
      <w:r>
        <w:rPr>
          <w:color w:val="000000"/>
          <w:sz w:val="32"/>
          <w:szCs w:val="32"/>
        </w:rPr>
        <w:t>；按年度申报，区分</w:t>
      </w:r>
      <w:r>
        <w:rPr>
          <w:rFonts w:hint="eastAsia"/>
          <w:color w:val="000000"/>
          <w:sz w:val="32"/>
          <w:szCs w:val="32"/>
          <w:lang w:eastAsia="zh-CN"/>
        </w:rPr>
        <w:t>“</w:t>
      </w:r>
      <w:r>
        <w:rPr>
          <w:color w:val="000000"/>
          <w:sz w:val="32"/>
          <w:szCs w:val="32"/>
        </w:rPr>
        <w:t>免申即享</w:t>
      </w:r>
      <w:r>
        <w:rPr>
          <w:rFonts w:hint="eastAsia"/>
          <w:color w:val="000000"/>
          <w:sz w:val="32"/>
          <w:szCs w:val="32"/>
          <w:lang w:eastAsia="zh-CN"/>
        </w:rPr>
        <w:t>”</w:t>
      </w:r>
      <w:r>
        <w:rPr>
          <w:color w:val="000000"/>
          <w:sz w:val="32"/>
          <w:szCs w:val="32"/>
        </w:rPr>
        <w:t>与</w:t>
      </w:r>
      <w:r>
        <w:rPr>
          <w:rFonts w:hint="eastAsia"/>
          <w:color w:val="000000"/>
          <w:sz w:val="32"/>
          <w:szCs w:val="32"/>
          <w:lang w:eastAsia="zh-CN"/>
        </w:rPr>
        <w:t>“</w:t>
      </w:r>
      <w:r>
        <w:rPr>
          <w:color w:val="000000"/>
          <w:sz w:val="32"/>
          <w:szCs w:val="32"/>
        </w:rPr>
        <w:t>评审</w:t>
      </w:r>
      <w:r>
        <w:rPr>
          <w:rFonts w:hint="eastAsia"/>
          <w:color w:val="000000"/>
          <w:sz w:val="32"/>
          <w:szCs w:val="32"/>
          <w:lang w:eastAsia="zh-CN"/>
        </w:rPr>
        <w:t>”</w:t>
      </w:r>
      <w:r>
        <w:rPr>
          <w:color w:val="000000"/>
          <w:sz w:val="32"/>
          <w:szCs w:val="32"/>
        </w:rPr>
        <w:t>两类办理路径，明确审核、公示、拨付全流程。</w:t>
      </w:r>
    </w:p>
    <w:p w14:paraId="4B45CDB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3" w:firstLineChars="200"/>
        <w:jc w:val="left"/>
        <w:textAlignment w:val="auto"/>
        <w:rPr>
          <w:color w:val="000000"/>
          <w:sz w:val="32"/>
          <w:szCs w:val="32"/>
        </w:rPr>
      </w:pPr>
      <w:r>
        <w:rPr>
          <w:rStyle w:val="10"/>
          <w:rFonts w:hint="eastAsia"/>
          <w:b/>
          <w:bCs/>
          <w:color w:val="000000"/>
          <w:sz w:val="32"/>
          <w:szCs w:val="32"/>
          <w:lang w:val="en-US" w:eastAsia="zh-CN"/>
        </w:rPr>
        <w:t>3.</w:t>
      </w:r>
      <w:r>
        <w:rPr>
          <w:rStyle w:val="10"/>
          <w:b/>
          <w:bCs/>
          <w:color w:val="000000"/>
          <w:sz w:val="32"/>
          <w:szCs w:val="32"/>
        </w:rPr>
        <w:t>申报条件与兑现方式</w:t>
      </w:r>
      <w:r>
        <w:rPr>
          <w:color w:val="000000"/>
          <w:sz w:val="32"/>
          <w:szCs w:val="32"/>
        </w:rPr>
        <w:t>：共11项条款，其中</w:t>
      </w:r>
      <w:r>
        <w:rPr>
          <w:rStyle w:val="10"/>
          <w:b/>
          <w:bCs/>
          <w:color w:val="000000"/>
          <w:sz w:val="32"/>
          <w:szCs w:val="32"/>
        </w:rPr>
        <w:t>9项正常实施</w:t>
      </w:r>
      <w:r>
        <w:rPr>
          <w:color w:val="000000"/>
          <w:sz w:val="32"/>
          <w:szCs w:val="32"/>
        </w:rPr>
        <w:t>、</w:t>
      </w:r>
      <w:r>
        <w:rPr>
          <w:rStyle w:val="10"/>
          <w:b/>
          <w:bCs/>
          <w:color w:val="000000"/>
          <w:sz w:val="32"/>
          <w:szCs w:val="32"/>
        </w:rPr>
        <w:t>2项停止实施</w:t>
      </w:r>
      <w:r>
        <w:rPr>
          <w:color w:val="000000"/>
          <w:sz w:val="32"/>
          <w:szCs w:val="32"/>
        </w:rPr>
        <w:t>。</w:t>
      </w:r>
    </w:p>
    <w:p w14:paraId="041F355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left"/>
        <w:textAlignment w:val="auto"/>
        <w:rPr>
          <w:color w:val="000000"/>
          <w:sz w:val="32"/>
          <w:szCs w:val="32"/>
        </w:rPr>
      </w:pPr>
      <w:r>
        <w:rPr>
          <w:color w:val="000000"/>
          <w:sz w:val="32"/>
          <w:szCs w:val="32"/>
        </w:rPr>
        <w:t>正常实施</w:t>
      </w:r>
      <w:r>
        <w:rPr>
          <w:rFonts w:hint="eastAsia"/>
          <w:color w:val="000000"/>
          <w:sz w:val="32"/>
          <w:szCs w:val="32"/>
          <w:lang w:eastAsia="zh-CN"/>
        </w:rPr>
        <w:t>项目</w:t>
      </w:r>
      <w:r>
        <w:rPr>
          <w:color w:val="000000"/>
          <w:sz w:val="32"/>
          <w:szCs w:val="32"/>
        </w:rPr>
        <w:t>：知识产权质押贷款补助、高价值专利产业化项目奖励、省级知识产权信息公共服务网点奖励、标准制定奖励、标准化试点项目奖励、皖美品牌/食安安徽认证奖励、老字号奖励、质量基础设施科研项目奖励。</w:t>
      </w:r>
    </w:p>
    <w:p w14:paraId="6E8CA2D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left"/>
        <w:textAlignment w:val="auto"/>
        <w:rPr>
          <w:color w:val="000000"/>
          <w:sz w:val="32"/>
          <w:szCs w:val="32"/>
        </w:rPr>
      </w:pPr>
      <w:r>
        <w:rPr>
          <w:color w:val="000000"/>
          <w:sz w:val="32"/>
          <w:szCs w:val="32"/>
        </w:rPr>
        <w:t>停止实施</w:t>
      </w:r>
      <w:r>
        <w:rPr>
          <w:rFonts w:hint="eastAsia"/>
          <w:color w:val="000000"/>
          <w:sz w:val="32"/>
          <w:szCs w:val="32"/>
          <w:lang w:eastAsia="zh-CN"/>
        </w:rPr>
        <w:t>项目</w:t>
      </w:r>
      <w:r>
        <w:rPr>
          <w:color w:val="000000"/>
          <w:sz w:val="32"/>
          <w:szCs w:val="32"/>
        </w:rPr>
        <w:t>：全国企业标准</w:t>
      </w:r>
      <w:r>
        <w:rPr>
          <w:rFonts w:hint="eastAsia"/>
          <w:color w:val="000000"/>
          <w:sz w:val="32"/>
          <w:szCs w:val="32"/>
          <w:lang w:eastAsia="zh-CN"/>
        </w:rPr>
        <w:t>“</w:t>
      </w:r>
      <w:r>
        <w:rPr>
          <w:color w:val="000000"/>
          <w:sz w:val="32"/>
          <w:szCs w:val="32"/>
        </w:rPr>
        <w:t>领跑者</w:t>
      </w:r>
      <w:r>
        <w:rPr>
          <w:rFonts w:hint="eastAsia"/>
          <w:color w:val="000000"/>
          <w:sz w:val="32"/>
          <w:szCs w:val="32"/>
          <w:lang w:eastAsia="zh-CN"/>
        </w:rPr>
        <w:t>”</w:t>
      </w:r>
      <w:r>
        <w:rPr>
          <w:color w:val="000000"/>
          <w:sz w:val="32"/>
          <w:szCs w:val="32"/>
        </w:rPr>
        <w:t>奖励、政府质量奖配套奖励（依据上级文件规定停止）。</w:t>
      </w:r>
    </w:p>
    <w:p w14:paraId="4C03A906">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left"/>
        <w:textAlignment w:val="auto"/>
        <w:rPr>
          <w:rFonts w:hint="default"/>
          <w:color w:val="000000"/>
          <w:sz w:val="32"/>
          <w:szCs w:val="32"/>
        </w:rPr>
      </w:pPr>
      <w:r>
        <w:rPr>
          <w:color w:val="000000"/>
          <w:sz w:val="32"/>
          <w:szCs w:val="32"/>
        </w:rPr>
        <w:t>5个附件为</w:t>
      </w:r>
      <w:r>
        <w:rPr>
          <w:rFonts w:hint="eastAsia"/>
          <w:color w:val="000000"/>
          <w:sz w:val="32"/>
          <w:szCs w:val="32"/>
          <w:lang w:eastAsia="zh-CN"/>
          <w:woUserID w:val="1"/>
        </w:rPr>
        <w:t>“</w:t>
      </w:r>
      <w:r>
        <w:rPr>
          <w:color w:val="000000"/>
          <w:sz w:val="32"/>
          <w:szCs w:val="32"/>
          <w:woUserID w:val="1"/>
        </w:rPr>
        <w:t>评审</w:t>
      </w:r>
      <w:r>
        <w:rPr>
          <w:rFonts w:hint="eastAsia"/>
          <w:color w:val="000000"/>
          <w:sz w:val="32"/>
          <w:szCs w:val="32"/>
          <w:lang w:eastAsia="zh-CN"/>
          <w:woUserID w:val="1"/>
        </w:rPr>
        <w:t>”</w:t>
      </w:r>
      <w:r>
        <w:rPr>
          <w:color w:val="000000"/>
          <w:sz w:val="32"/>
          <w:szCs w:val="32"/>
          <w:woUserID w:val="1"/>
        </w:rPr>
        <w:t>类项目</w:t>
      </w:r>
      <w:r>
        <w:rPr>
          <w:color w:val="000000"/>
          <w:sz w:val="32"/>
          <w:szCs w:val="32"/>
        </w:rPr>
        <w:t>知识产权质押贷款奖补材料清单、申报表、资金承诺书、信息填报表及填报说明</w:t>
      </w:r>
      <w:r>
        <w:rPr>
          <w:color w:val="000000"/>
          <w:sz w:val="32"/>
          <w:szCs w:val="32"/>
          <w:woUserID w:val="1"/>
        </w:rPr>
        <w:t>。</w:t>
      </w:r>
    </w:p>
    <w:p w14:paraId="56CAE1C6">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textAlignment w:val="auto"/>
        <w:outlineLvl w:val="1"/>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五、需要说明的重点问题</w:t>
      </w:r>
    </w:p>
    <w:p w14:paraId="3A236AF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3" w:firstLineChars="200"/>
        <w:jc w:val="left"/>
        <w:textAlignment w:val="auto"/>
        <w:rPr>
          <w:color w:val="000000"/>
          <w:sz w:val="32"/>
          <w:szCs w:val="32"/>
        </w:rPr>
      </w:pPr>
      <w:r>
        <w:rPr>
          <w:rStyle w:val="10"/>
          <w:rFonts w:hint="eastAsia"/>
          <w:b/>
          <w:bCs/>
          <w:color w:val="000000"/>
          <w:sz w:val="32"/>
          <w:szCs w:val="32"/>
          <w:lang w:val="en-US" w:eastAsia="zh-CN"/>
        </w:rPr>
        <w:t>1.</w:t>
      </w:r>
      <w:r>
        <w:rPr>
          <w:rStyle w:val="10"/>
          <w:b/>
          <w:bCs/>
          <w:color w:val="000000"/>
          <w:sz w:val="32"/>
          <w:szCs w:val="32"/>
        </w:rPr>
        <w:t>兑现方式分类</w:t>
      </w:r>
      <w:r>
        <w:rPr>
          <w:color w:val="000000"/>
          <w:sz w:val="32"/>
          <w:szCs w:val="32"/>
        </w:rPr>
        <w:t>：除知识产权质押贷款补助为</w:t>
      </w:r>
      <w:r>
        <w:rPr>
          <w:rFonts w:hint="eastAsia"/>
          <w:color w:val="000000"/>
          <w:sz w:val="32"/>
          <w:szCs w:val="32"/>
          <w:lang w:eastAsia="zh-CN"/>
        </w:rPr>
        <w:t>“</w:t>
      </w:r>
      <w:r>
        <w:rPr>
          <w:color w:val="000000"/>
          <w:sz w:val="32"/>
          <w:szCs w:val="32"/>
        </w:rPr>
        <w:t>评审</w:t>
      </w:r>
      <w:r>
        <w:rPr>
          <w:rFonts w:hint="eastAsia"/>
          <w:color w:val="000000"/>
          <w:sz w:val="32"/>
          <w:szCs w:val="32"/>
          <w:lang w:eastAsia="zh-CN"/>
        </w:rPr>
        <w:t>”</w:t>
      </w:r>
      <w:r>
        <w:rPr>
          <w:color w:val="000000"/>
          <w:sz w:val="32"/>
          <w:szCs w:val="32"/>
        </w:rPr>
        <w:t>类外，其余均为</w:t>
      </w:r>
      <w:r>
        <w:rPr>
          <w:rFonts w:hint="eastAsia"/>
          <w:color w:val="000000"/>
          <w:sz w:val="32"/>
          <w:szCs w:val="32"/>
          <w:lang w:eastAsia="zh-CN"/>
        </w:rPr>
        <w:t>“</w:t>
      </w:r>
      <w:r>
        <w:rPr>
          <w:color w:val="000000"/>
          <w:sz w:val="32"/>
          <w:szCs w:val="32"/>
        </w:rPr>
        <w:t>免申即享</w:t>
      </w:r>
      <w:r>
        <w:rPr>
          <w:rFonts w:hint="eastAsia"/>
          <w:color w:val="000000"/>
          <w:sz w:val="32"/>
          <w:szCs w:val="32"/>
          <w:lang w:eastAsia="zh-CN"/>
        </w:rPr>
        <w:t>”</w:t>
      </w:r>
      <w:r>
        <w:rPr>
          <w:color w:val="000000"/>
          <w:sz w:val="32"/>
          <w:szCs w:val="32"/>
        </w:rPr>
        <w:t>，减少企业申报负担。</w:t>
      </w:r>
    </w:p>
    <w:p w14:paraId="4C9D228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3" w:firstLineChars="200"/>
        <w:jc w:val="left"/>
        <w:textAlignment w:val="auto"/>
        <w:rPr>
          <w:color w:val="000000"/>
          <w:sz w:val="32"/>
          <w:szCs w:val="32"/>
        </w:rPr>
      </w:pPr>
      <w:r>
        <w:rPr>
          <w:rStyle w:val="10"/>
          <w:rFonts w:hint="eastAsia"/>
          <w:b/>
          <w:bCs/>
          <w:color w:val="000000"/>
          <w:sz w:val="32"/>
          <w:szCs w:val="32"/>
          <w:lang w:val="en-US" w:eastAsia="zh-CN"/>
        </w:rPr>
        <w:t>2.</w:t>
      </w:r>
      <w:r>
        <w:rPr>
          <w:rStyle w:val="10"/>
          <w:b/>
          <w:bCs/>
          <w:color w:val="000000"/>
          <w:sz w:val="32"/>
          <w:szCs w:val="32"/>
        </w:rPr>
        <w:t>停止实施条款</w:t>
      </w:r>
      <w:r>
        <w:rPr>
          <w:color w:val="000000"/>
          <w:sz w:val="32"/>
          <w:szCs w:val="32"/>
        </w:rPr>
        <w:t>：严格执行上级关于评比表彰管理、企业标准</w:t>
      </w:r>
      <w:r>
        <w:rPr>
          <w:rFonts w:hint="eastAsia"/>
          <w:color w:val="000000"/>
          <w:sz w:val="32"/>
          <w:szCs w:val="32"/>
          <w:lang w:eastAsia="zh-CN"/>
        </w:rPr>
        <w:t>“</w:t>
      </w:r>
      <w:r>
        <w:rPr>
          <w:color w:val="000000"/>
          <w:sz w:val="32"/>
          <w:szCs w:val="32"/>
        </w:rPr>
        <w:t>领跑者</w:t>
      </w:r>
      <w:r>
        <w:rPr>
          <w:rFonts w:hint="eastAsia"/>
          <w:color w:val="000000"/>
          <w:sz w:val="32"/>
          <w:szCs w:val="32"/>
          <w:lang w:eastAsia="zh-CN"/>
        </w:rPr>
        <w:t>”</w:t>
      </w:r>
      <w:r>
        <w:rPr>
          <w:color w:val="000000"/>
          <w:sz w:val="32"/>
          <w:szCs w:val="32"/>
        </w:rPr>
        <w:t>制度调整要求，对两项政策予以停止实施。</w:t>
      </w:r>
    </w:p>
    <w:p w14:paraId="6F4E73E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3" w:firstLineChars="200"/>
        <w:jc w:val="left"/>
        <w:textAlignment w:val="auto"/>
        <w:rPr>
          <w:color w:val="000000"/>
          <w:sz w:val="32"/>
          <w:szCs w:val="32"/>
        </w:rPr>
      </w:pPr>
      <w:r>
        <w:rPr>
          <w:rStyle w:val="10"/>
          <w:rFonts w:hint="eastAsia"/>
          <w:b/>
          <w:bCs/>
          <w:color w:val="000000"/>
          <w:sz w:val="32"/>
          <w:szCs w:val="32"/>
          <w:lang w:val="en-US" w:eastAsia="zh-CN"/>
        </w:rPr>
        <w:t>3.</w:t>
      </w:r>
      <w:r>
        <w:rPr>
          <w:rStyle w:val="10"/>
          <w:b/>
          <w:bCs/>
          <w:color w:val="000000"/>
          <w:sz w:val="32"/>
          <w:szCs w:val="32"/>
        </w:rPr>
        <w:t>资金管控</w:t>
      </w:r>
      <w:r>
        <w:rPr>
          <w:color w:val="000000"/>
          <w:sz w:val="32"/>
          <w:szCs w:val="32"/>
        </w:rPr>
        <w:t>：明确总额控制与比例折算机制，保障财政资金安全可持续。</w:t>
      </w:r>
    </w:p>
    <w:p w14:paraId="7C73A19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3" w:firstLineChars="200"/>
        <w:jc w:val="left"/>
        <w:textAlignment w:val="auto"/>
        <w:rPr>
          <w:rFonts w:hint="eastAsia"/>
          <w:color w:val="000000"/>
          <w:sz w:val="32"/>
          <w:szCs w:val="32"/>
          <w:lang w:val="en-US" w:eastAsia="zh-CN"/>
        </w:rPr>
      </w:pPr>
      <w:r>
        <w:rPr>
          <w:rStyle w:val="10"/>
          <w:rFonts w:hint="eastAsia"/>
          <w:b/>
          <w:bCs/>
          <w:color w:val="000000"/>
          <w:sz w:val="32"/>
          <w:szCs w:val="32"/>
          <w:lang w:val="en-US" w:eastAsia="zh-CN"/>
        </w:rPr>
        <w:t>4.</w:t>
      </w:r>
      <w:r>
        <w:rPr>
          <w:rStyle w:val="10"/>
          <w:b/>
          <w:bCs/>
          <w:color w:val="000000"/>
          <w:sz w:val="32"/>
          <w:szCs w:val="32"/>
        </w:rPr>
        <w:t>信用与责任</w:t>
      </w:r>
      <w:r>
        <w:rPr>
          <w:color w:val="000000"/>
          <w:sz w:val="32"/>
          <w:szCs w:val="32"/>
        </w:rPr>
        <w:t>：强化申报真实性承诺，对弄虚作假企业列入黑名单、追回资金并取消申报资格。</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FC815E"/>
    <w:multiLevelType w:val="singleLevel"/>
    <w:tmpl w:val="7FFC815E"/>
    <w:lvl w:ilvl="0" w:tentative="0">
      <w:start w:val="4"/>
      <w:numFmt w:val="decimal"/>
      <w:suff w:val="space"/>
      <w:lvlText w:val="%1."/>
      <w:lvlJc w:val="left"/>
      <w:rPr>
        <w:rFonts w:hint="default"/>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2A3978"/>
    <w:rsid w:val="15B97F07"/>
    <w:rsid w:val="1FF1373D"/>
    <w:rsid w:val="402A3978"/>
    <w:rsid w:val="5B4617D6"/>
    <w:rsid w:val="631D3129"/>
    <w:rsid w:val="66383744"/>
    <w:rsid w:val="6EEFC14B"/>
    <w:rsid w:val="7FFFBC64"/>
    <w:rsid w:val="F7FF9F42"/>
    <w:rsid w:val="FBDF692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6">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0"/>
      <w:ind w:firstLine="420" w:firstLineChars="200"/>
    </w:pPr>
  </w:style>
  <w:style w:type="paragraph" w:styleId="3">
    <w:name w:val="Body Text Indent"/>
    <w:basedOn w:val="1"/>
    <w:next w:val="4"/>
    <w:qFormat/>
    <w:uiPriority w:val="99"/>
    <w:pPr>
      <w:spacing w:before="120" w:line="360" w:lineRule="auto"/>
      <w:ind w:firstLine="454"/>
    </w:pPr>
    <w:rPr>
      <w:kern w:val="0"/>
      <w:sz w:val="24"/>
      <w:lang w:val="zh-CN"/>
    </w:rPr>
  </w:style>
  <w:style w:type="paragraph" w:styleId="4">
    <w:name w:val="Normal Indent"/>
    <w:basedOn w:val="1"/>
    <w:next w:val="1"/>
    <w:qFormat/>
    <w:uiPriority w:val="0"/>
    <w:pPr>
      <w:ind w:firstLine="200" w:firstLineChars="200"/>
    </w:pPr>
    <w:rPr>
      <w:rFonts w:ascii="Times New Roman" w:hAnsi="Times New Roman" w:eastAsia="宋体" w:cs="Times New Roman"/>
      <w:sz w:val="21"/>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0</Words>
  <Characters>0</Characters>
  <Lines>0</Lines>
  <Paragraphs>0</Paragraphs>
  <TotalTime>12</TotalTime>
  <ScaleCrop>false</ScaleCrop>
  <LinksUpToDate>false</LinksUpToDate>
  <CharactersWithSpaces>0</CharactersWithSpaces>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2026-05-07T07:49:00Z</dcterms:created>
  <dc:creator>陈国秀</dc:creator>
  <cp:lastModifiedBy>kylin</cp:lastModifiedBy>
  <dcterms:modified xsi:type="dcterms:W3CDTF">2026-05-07T15:20:25Z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EEF8321260E9481FB4399B4C46CD204B_11</vt:lpwstr>
  </property>
  <property fmtid="{D5CDD505-2E9C-101B-9397-08002B2CF9AE}" pid="4" name="KSOTemplateDocerSaveRecord">
    <vt:lpwstr>eyJoZGlkIjoiMGFlODU2YzdkYjYxMTRjNThmZDViNTIzYmNiMzczMWUiLCJ1c2VySWQiOiI2NTQ2MzgxMTQifQ==</vt:lpwstr>
  </property>
</Properties>
</file>